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附件1：</w:t>
      </w:r>
    </w:p>
    <w:tbl>
      <w:tblPr>
        <w:tblStyle w:val="4"/>
        <w:tblW w:w="155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362"/>
        <w:gridCol w:w="734"/>
        <w:gridCol w:w="2874"/>
        <w:gridCol w:w="6243"/>
        <w:gridCol w:w="823"/>
        <w:gridCol w:w="829"/>
        <w:gridCol w:w="1071"/>
        <w:gridCol w:w="10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5504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highlight w:val="none"/>
              </w:rPr>
              <w:t>杭州师范大学二级团组织工作考核表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基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础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考核项目</w:t>
            </w:r>
          </w:p>
        </w:tc>
        <w:tc>
          <w:tcPr>
            <w:tcW w:w="9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考核标准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自评分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自评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依据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考核小组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认定分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考核指标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具体内容和计分方法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8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8"/>
                <w:highlight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8"/>
                <w:highlight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思想引领</w:t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（50分）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开展主题教育实践活动（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高质量开展团员与青年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主题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教育团日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活动和各种形式的主题教育实践活动，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智慧团建主题教育各学习板块团支部覆盖率达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3分，不足100%不得分。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团员青年理想信念教育（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积极开展“马克思主义宗教观教育”，按要求完成学生教育引导相关工作，计2分；x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j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团员人数比例低于全校平均值，计3分。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val="en-US" w:eastAsia="zh-CN"/>
              </w:rPr>
              <w:t>Xj团员人数比例由校团委直接计算赋分。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培养挖掘优秀典型和先进事迹（12分）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组织团员青年参加“自强之星”“向上向善好青年”“马云青春领袖奖”“十佳团干部”“十佳团员”等典型人物评选活动并获得荣誉，省级计5分、市级计3分、校级计1分。荣获“优秀团员”“优秀团干部”等个人荣誉，省级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分、市级计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分，市教育系统计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0.5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分。奖项不重复计分，以最高分计算。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校级荣誉无需附佐证材料。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发挥“青马工程”示范作用（2分）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团员青年参加新世纪人才学院、西子人才学院、子渊人才学院等青马工程培养班，省市级计2分、校级计1分。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开展共青团工作课题研究或精品项目（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团干部主持并结题共青团工作相关课题或精品项目，省部级4分/项，市厅级3分/项，校级计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分/项。以第一作者公开发表共青团工作相关论文计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0.5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分/篇；核心期刊计5分/篇,出版专著3分/部。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共青团工作宣传报道（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学院共青团网站、微博、微信等新媒体平台及时更新、发布计2分；</w:t>
            </w:r>
          </w:p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共青团工作宣传报道被国家级媒体报道，计5分/篇；被省级媒体报道，计3分/篇；被市级媒体报道，计2分/篇；被学校官网师大要闻板块录用，计2分/篇，学校官微录用，计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分/篇。具体媒体名单以校团委公布为准，同一报道主题同时被多家媒体报道，就高计算。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由学院提供材料，校团委审核赋分。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青年大学习开展情况（8分）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积极开展网上主题学习教育，青年大学习学习率90%以上计8分，80%以上计6分，70%以上计4分，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0%以上计2分，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0%以上计1分。（2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年度按学期折半分别计算）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</w:rPr>
              <w:t xml:space="preserve"> 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仅赋自评分，无需提供佐证材料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组织建设</w:t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（4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二级党组织重视共青团工作（2分）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二级党组织专题研究共青团工作，每年至少听取一次共青团工作专题汇报，解决工作中遇到的困难和问题，计2分。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加强团组织建设（1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定期召开团员代表大会，计1分；按时按要求完成团费收缴工作，计1分；按时按要求完成团情统计工作，计1分；按时按要求完成团籍注册，100%完成“学社衔接”，计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分；100%完成“对标定级”，计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分；按时按要求完成共青团团员先进性评价和团内激励记载录入工作，计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年规范发展团员，入团志愿书规范填写计2分；按时完成超大团支部、空壳团支部整改，计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仅赋自评分，无需提供佐证材料，校团委将根据智慧团建系统数据审核认定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参加团内评比活动并获奖（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所在团组织获“五四红旗团委”“先进团委”“五四红旗团支部”“十佳团支部” “先进团支部”“青年文明号”等综合性荣誉，省级计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分、市级计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分、市教育系统计2分，校级计1分。参加“浙江省思政微课大赛”“杭州青年说”“微团课大赛”“红船杯党团知识竞赛”等团内单项竞赛评比活动，省级特等奖计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分，省级一等奖计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分、二等奖计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分、三等奖及其他计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分；市级一等奖计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分、二等奖、三等奖计1分；校级一等奖计1分，其他计0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分。奖项不重复计分，以最高分计算。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2023年度校级五四红旗团支部由校团委直接进行加分，无需自评赋分。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开展团务知识培训工作</w:t>
            </w:r>
          </w:p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（3分）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按要求组织团员、团干参加校级团校培训班并顺利结业，计1.5分/期。建立学院团校培训班并定期培训，计1.5分/期。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推进学生会改革（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按要求推进学生会改革。主席团成员不超过三人，计1分，学生会不设主席、副主席，设执行主席1分；学生会人数不超过规定人数，计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分；学生会干部均为共青团员或中共党员，计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分；学生会干部成绩均排名前30%，计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承接团内重点工作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</w:rPr>
              <w:t>（10分）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专职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团干部积极承接校团委重点工作任务，计1分/次；学院承办校团委主办的校级活动，计2分/次。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仅需备注工作事项，无需提供佐证材料。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实践育人</w:t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43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社会实践开展情况（1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获重点团队立项情况：社会实践团队入选国家级重点团队，计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分；入选省级重点团队，计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分。获国家级荣誉：全国暑期社会实践先进团队、先进个人等由团中央颁发的综合性奖项，计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分/项；“镜头中的三下乡”等由团中央青年发展部等部门评选的，计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分/项；“千校千项”等中国青年报社评选的，计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分/项。各类市级评选，计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分。获各类校级先进，优秀组织工作奖计1分，先进团队0.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分/项，优秀指导教师0.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分/项，优秀调研报告一等奖计0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校级荣誉无需附佐证材料。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2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强化社会实践活动保障（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学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</w:rPr>
              <w:t>院专业教师指导并带队社会实践活动，计1分/人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。开展院级培训会、总结分享会计1分。建立社会实践基地（授牌），计1分/个。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志愿服务工作开展情况（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获各类志愿服务先进集体、个人荣誉，国家级计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分、省级计3分、市级计2分，获校“志愿服务先进集体”“最美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（十佳）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志愿者”，计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分；以上荣誉不重复计分，以最高分计算。</w:t>
            </w:r>
          </w:p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志愿服务项目获奖，市级金奖计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分、银奖计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分、铜奖计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分，校赛一等奖计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分，二等奖计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分，三等奖计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0.5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分。以上奖项不重复计分，以最高分计算。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校级荣誉无需附佐证材料。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shd w:val="clear" w:color="auto" w:fill="FDBE3D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积极参与亚运会志愿服务工作（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积极发动学生报名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赛会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志愿者，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正式录用学生小青荷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人数占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学生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总数比例，排名1-5名，计5分；6-10名计3分；其余计2分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；没有不计分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由校团委直接赋分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b w:val="0"/>
                <w:bCs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hint="eastAsia" w:ascii="仿宋_GB2312" w:hAnsi="等线" w:eastAsia="仿宋_GB2312"/>
                <w:b w:val="0"/>
                <w:bCs w:val="0"/>
                <w:color w:val="000000"/>
                <w:sz w:val="22"/>
                <w:highlight w:val="none"/>
                <w:u w:val="none"/>
              </w:rPr>
              <w:t>18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none"/>
              </w:rPr>
              <w:t>积极参与亚运会开闭幕式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演职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none"/>
              </w:rPr>
              <w:t>工作（5分）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highlight w:val="none"/>
                <w:u w:val="none"/>
                <w:lang w:val="en-US" w:eastAsia="zh-CN"/>
              </w:rPr>
              <w:t>积极发动学生参与开闭幕式群演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highlight w:val="none"/>
                <w:u w:val="none"/>
              </w:rPr>
              <w:t>工作，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highlight w:val="none"/>
                <w:u w:val="none"/>
                <w:lang w:val="en-US" w:eastAsia="zh-CN"/>
              </w:rPr>
              <w:t>全程参与排练及演出的学生演员占学生总数比例，排名1-5，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highlight w:val="none"/>
                <w:u w:val="none"/>
              </w:rPr>
              <w:t>计5分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</w:rPr>
              <w:t>6-10名计3分；其余计2分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没有不计分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做好常态化志愿服务组织与管理（3分）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志愿汇记录的志愿服务人均服务时数（志愿汇中归属学院管理的志愿服务组织总时数/学院在校团员总数），排名1-5名，计3分；6-10名计2分；其余计1分。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由校团委直接赋分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引导大学生参加两项计划（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面向学院学生开展两项计划宣传，计1分；学院学生当年入选两项计划，计2分。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由校团委直接赋分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none"/>
              </w:rPr>
              <w:t>21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none"/>
              </w:rPr>
              <w:t>服务杭州社会经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none"/>
              </w:rPr>
              <w:t>济发展</w:t>
            </w:r>
          </w:p>
          <w:p>
            <w:pPr>
              <w:widowControl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none"/>
              </w:rPr>
              <w:t>（5分）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</w:rPr>
              <w:t>围绕《杭州师范大学服务杭州经济社会发展行动方案》，依托共青团资源、平台开展相关工作，根据实施成效评议赋分。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由学院提供材料，校团委审核赋分。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创新创业</w:t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highlight w:val="none"/>
                <w:lang w:val="en-US" w:eastAsia="zh-CN"/>
              </w:rPr>
              <w:t>34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参与创新创业活动（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参加省“新苗人才”计划、校“星光计划”“精进杯”等科创活动参与学生占团员青年比例排名1-5名，计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分；6-10名计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分；其余计1分。按要求完成“挑战杯”系统录入项目数，计2分。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仅附自评分，无需提供佐证材料。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组织科创赛事及“星光计划”（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开展院级“挑战杯”等竞赛计2分；开展“星光计划”立项工作计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分，有相关配套立项资助经费计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由学院提供材料，校团委审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赋分。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组织参加赛事并获奖（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参加校级“挑战杯”等比赛并获得荣誉，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一等奖计3分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项，二等奖计2分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项 三等奖计1分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。参加校级“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精进杯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”等比赛并获得荣誉，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一等奖计2分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项，二等奖计1分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三等奖计0.5分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仅附自评分，无需提供佐证材料。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发表论文和专利（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当年度在校生以第一授权人获得的发明专利,计5分/项；国家实用新型、软件著作权授权，计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分/项；外观设计专利授权，计0.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在校生以第一作者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公开发表学术论文，文学、美术、音乐作品，计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1分。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同一项目不重复计分。（要求见刊或最终发表）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由学院提供证明材料，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val="en-US" w:eastAsia="zh-CN"/>
              </w:rPr>
              <w:t xml:space="preserve"> 校团委审核赋分。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开展就业帮扶工作（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按要求实施低收入家庭毕业生就业帮扶计划，每名专职团干部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结对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帮扶不少于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应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届低收入家庭毕业生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，并顺利就业，计2分。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</w:rPr>
              <w:t>基础医学院、工学院除外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其他学院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仅附自评分，无需提供佐证材料。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积极开展大学生实习和社区实践（5分）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按要求开展大学生实习扬帆计划，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11月15日前组织不少于5%的学生参加“政务实习”或“企业实习”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，计2分。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学院团委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每学期组织不少于2场“职场体验活动”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，一场计1分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。</w:t>
            </w:r>
          </w:p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深入实施大学生社区实践计划，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11月15日前组织不少于25%的团支部、不少于5%的在校学生，参与城乡社区实践计划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，计2分。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校园文化</w:t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（30分）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学生社团指导和管理（2分）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按要求定期召开社团全体成员大会或成员代表大会，计1分；按照要求完成年度注册、注销等社团管理工作，计1分/项。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按要求配备社团指导教师社团（3分）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 xml:space="preserve">为本单位全体社团配备指导教师，计1分；思想政治类社团和志愿公益类社团指导老师均为中共党员，计2分。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2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30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按要求选拔学生社团负责人（7分）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学生社团负责人政治立场鲜明、组织能力突出、全心全意为社团发展服务、为社团成员成长助力，计1分；思想政治类和志愿公益类社团负责人均为中共党员，计2分；社团负责人学习成绩综合测评排名均在班级（或年级）前50%以内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分；满足条件的社团成立临时团支部开展团日活动，计2分。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31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参加社团文化评比活动</w:t>
            </w:r>
          </w:p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学生社团获校“十佳社团”，计2分/个；校“新星社团”，计1分/个。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获校“一社一品”精品立项，计1分/项；一般立项，计0.5分/项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仅附自评分，无需附佐证材料。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32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参加展赛并获奖（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参与大学生艺术展演等文化艺术类展赛，获省级一等奖计4分，二等奖计3分，三等奖计2分。同一项目不重复计分。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集体奖项如涵盖多个学院学生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由指导老师进行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权重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赋分。</w:t>
            </w:r>
          </w:p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参加学校辩论、合唱、十佳歌手、演讲等共青团主办的文化活动，一等奖或前三名计1分，二、三等奖和其他奖项计0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选派指导教师（3分）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选派教师担任校级文化艺术类社团指导教师，如辩论队、大艺团及各分团指导教师，每人计1分。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活动组织工作（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按要求组织学生参加校团委主办的各类校园文化活动，参演人次达团员青年总数的20%，计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分；达15%，计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分；达10%，计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分；达5%，计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总分（2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正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向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加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分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项</w:t>
            </w:r>
          </w:p>
          <w:p>
            <w:pPr>
              <w:widowControl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考核标准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自评分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自评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依据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考核小组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认定分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1.在全国“十佳大学生”“自强之星标兵”“向上向善好青年”等典型人物评选活动获奖加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分/人，提名奖加5分/人。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2.团员青年被推选为各级团代会代表，全国代表加8分/人，省级代表加5分/人，市级代表加3分/人。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3.团干部主持团中央设立的相关课题或精品项目，加10分/项。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.集体或个人在“全国五四红旗团委”“全国五四红旗团支部”“全国优秀团员”“全国优秀团干部”“全国青年文明号”等评比中获得荣誉，加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.参加志愿服务项目大赛并获得荣誉，国家级金奖加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分、银奖加6分、铜奖加4分；省级金奖加4分、银奖加3分。奖项不重复计分，以最高分计算。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6.参加省社会实践调研报告大赛并获得荣誉，一等奖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，计5分；省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调研报告评选二等奖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调研报告评选三等奖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参加“挑战杯”系列赛事并获得荣誉，国家级一等奖（金奖）以上加15分、二等奖（银奖）加10分、三等奖（铜奖）加6分；省级一等奖（金奖）以上加4分、二等奖（银奖）加2分。参加“创青春”中国青年创新创业大赛获奖折半赋分。奖项不重复计分，以最高分计算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.在“百强社团”“活力社团”“优秀学生社团”“最佳学生社团”等评比中获得荣誉，国家级加8分、省级加5分。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.在全国大学生艺术展演中获得荣誉，一等奖（金奖）加8分、二等奖（银奖）加6分。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.获共青团工作重大突破，如“全国五四红旗团支部”、“挑战杯”全国学生课外学术作品竞赛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主体赛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特等奖等学校从未获得的重要荣誉，经校团委认定，当年组织考核直接认定为优秀，或视具体情况额外加分。认定为优秀的学院组织考核赋分取年度考核最高分。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总分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反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向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扣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分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考核标准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自评分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自评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依据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考核小组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认定分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1.在各类活动当中出现不当行为、发表不当言论等较大问题，视情况扣1-5分/起。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2.出现共青团领域网络舆情事件，产生不良影响的，扣3分；在较大范围内引发新媒体平台及媒体关注，扣5分。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3.智慧团建系统内团组织数、团员数与年度团情统计数据出入较大，超过30%的扣5分。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4.未按要求使用志愿汇App统计志愿服务时数，扣1分/项。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5.省级“新苗人才”计划项目未结题，扣5分/项。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6.在学校年度社团星级调整中有3个及以上五星级或四星级社团降星的扣3分。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7.两项计划入选公示后，违约放弃，扣2分/人。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8.在团属媒体上发布的新闻报道等存在错误或不当表述的，扣2分/次。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总分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考核评定总分</w:t>
            </w:r>
          </w:p>
        </w:tc>
        <w:tc>
          <w:tcPr>
            <w:tcW w:w="3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一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票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否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决</w:t>
            </w: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考核标准</w:t>
            </w:r>
          </w:p>
        </w:tc>
        <w:tc>
          <w:tcPr>
            <w:tcW w:w="3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考核小组认定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1.所在团组织有团员青年政治立场动摇，在思想上政治上行动上不能自觉与党中央保持一致，妄议中央大政方针，传播政治谣言，有损党和国家形象。</w:t>
            </w:r>
          </w:p>
        </w:tc>
        <w:tc>
          <w:tcPr>
            <w:tcW w:w="3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2.近一年来团干部或学生干部出现重大违法行为。</w:t>
            </w:r>
          </w:p>
        </w:tc>
        <w:tc>
          <w:tcPr>
            <w:tcW w:w="3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3.出现共青团领域重大网络舆情事件，处置不当并造成重大影响。</w:t>
            </w:r>
          </w:p>
        </w:tc>
        <w:tc>
          <w:tcPr>
            <w:tcW w:w="3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4.在团的活动中出现重大事故，处置不当并造成重大影响。</w:t>
            </w:r>
          </w:p>
        </w:tc>
        <w:tc>
          <w:tcPr>
            <w:tcW w:w="3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5.发展宗教信仰学生成为党员或团员，造成不当影响。</w:t>
            </w:r>
          </w:p>
        </w:tc>
        <w:tc>
          <w:tcPr>
            <w:tcW w:w="3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</w:tr>
    </w:tbl>
    <w:p/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YWM5ZTRmZDg5ZmNhMmRhNWFkMzBiZGJmNjI3NWEifQ=="/>
  </w:docVars>
  <w:rsids>
    <w:rsidRoot w:val="00CB4061"/>
    <w:rsid w:val="001A2C38"/>
    <w:rsid w:val="00213F59"/>
    <w:rsid w:val="002E7A0B"/>
    <w:rsid w:val="004813F1"/>
    <w:rsid w:val="00700FBB"/>
    <w:rsid w:val="00787C84"/>
    <w:rsid w:val="00962BAF"/>
    <w:rsid w:val="009A589F"/>
    <w:rsid w:val="00CB4061"/>
    <w:rsid w:val="00E71ED6"/>
    <w:rsid w:val="00FB2643"/>
    <w:rsid w:val="0110452E"/>
    <w:rsid w:val="018B1DB6"/>
    <w:rsid w:val="16AF5265"/>
    <w:rsid w:val="24036441"/>
    <w:rsid w:val="291F1CB1"/>
    <w:rsid w:val="2AE467D9"/>
    <w:rsid w:val="30D51E0F"/>
    <w:rsid w:val="33BC1BCB"/>
    <w:rsid w:val="48064DAC"/>
    <w:rsid w:val="48AE24C1"/>
    <w:rsid w:val="4CCD204B"/>
    <w:rsid w:val="4D891B60"/>
    <w:rsid w:val="5099030C"/>
    <w:rsid w:val="523970D7"/>
    <w:rsid w:val="559874D4"/>
    <w:rsid w:val="5F0517D2"/>
    <w:rsid w:val="5F6D67E4"/>
    <w:rsid w:val="64FF3295"/>
    <w:rsid w:val="67F657CF"/>
    <w:rsid w:val="702C1194"/>
    <w:rsid w:val="70420916"/>
    <w:rsid w:val="706B7E42"/>
    <w:rsid w:val="767F6F93"/>
    <w:rsid w:val="775404DA"/>
    <w:rsid w:val="7F3B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5170</Words>
  <Characters>5350</Characters>
  <Lines>40</Lines>
  <Paragraphs>11</Paragraphs>
  <TotalTime>1</TotalTime>
  <ScaleCrop>false</ScaleCrop>
  <LinksUpToDate>false</LinksUpToDate>
  <CharactersWithSpaces>5357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Miss.</cp:lastModifiedBy>
  <cp:lastPrinted>2023-12-26T07:58:00Z</cp:lastPrinted>
  <dcterms:modified xsi:type="dcterms:W3CDTF">2023-12-26T08:50:55Z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0F2626CE5DDD4D068FF158CCBE7BA333</vt:lpwstr>
  </property>
</Properties>
</file>