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  <w:t>全国第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  <w:t>届大学生艺术展演活动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  <w:t>学生艺术实践工作坊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  <w:t>的相关要求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学生艺术实践工作坊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是一项集体性、实践性、互动性、体验性的视觉艺术创作实践项目。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工作坊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围绕“艺术与科技”“艺术与生活”“艺术与美丽乡村”“艺术与校园”四个项目开展活动。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  <w:u w:val="none"/>
        </w:rPr>
        <w:t>（一）艺术与科技。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基于信息时代和科技革命，用艺术形式助力科技水平提升，服务经济社会发展，促进产业升级和成果转化、建设现代化产业体系，展示艺术与人工智能、航天技术、信息技术、新材料等深度融合的探索实践。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  <w:u w:val="none"/>
        </w:rPr>
        <w:t>（二）艺术与生活。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展现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艺术与生活融合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把艺术成果服务于人民群众的高品质生活需求，用艺术创造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美好生活，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提升审美韵味、生活品位。展示美好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生活品质的创意创新实践，如日用品、装饰品的设计制作等。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  <w:u w:val="none"/>
        </w:rPr>
        <w:t>（三）艺术与美丽乡村。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聚焦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共同富裕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，助力乡村振兴，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展现艺术与美丽乡村建设融合，将艺术元素应用于乡村规划建设、生态环境保护，发展乡村特色产业，推进美丽中国建设。展示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推动乡村发展的创意创新实践，如农村景观设计、主题墙绘、农副产品包装设计等。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  <w:u w:val="none"/>
        </w:rPr>
        <w:t>（四）艺术与校园。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用艺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美化校园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助力教育资源数字化建设，引领学校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审美品味，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营造良好校园文化氛围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展示校园文化创意创新实践，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校内环境设计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、教室环境创设、校服设计、学习用品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用具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设计等。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、报送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各省级教育行政部门在本地组织评选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并公示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的基础上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报送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工作坊进行全国评选。申报材料包括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项目基本信息、项目简介、设计思路和特色描述、展区设计方案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和反映工作坊项目的现场实践视频（时长不超过8分钟，采用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MP4或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MPG2格式）。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历届已获奖工作坊不得重复申报。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u w:val="none"/>
        </w:rPr>
        <w:t>组队与人员要求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</w:rPr>
        <w:t>以高校为单位组队，一队一坊，每队参展人数为10人，其中学生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</w:rPr>
        <w:t>人，指导教师1—3人。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u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展示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入围参加全国现场展示的工作坊由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组委会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统一提供展位和基础平台，每个展位尺寸为6米（长）×4米（宽）×2.5米（高），展位内的平台包括一定数量的展台、操作台和座椅组合，展位和平台的具体布置由各参展队伍负责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right" w:pos="8504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cs="Calibri"/>
        <w:sz w:val="28"/>
        <w:szCs w:val="28"/>
      </w:rPr>
    </w:pPr>
    <w:r>
      <w:rPr>
        <w:rFonts w:ascii="宋体" w:hAnsi="宋体" w:cs="Calibri"/>
        <w:sz w:val="28"/>
        <w:szCs w:val="28"/>
      </w:rPr>
      <w:fldChar w:fldCharType="begin"/>
    </w:r>
    <w:r>
      <w:rPr>
        <w:rFonts w:ascii="宋体" w:hAnsi="宋体" w:cs="Calibri"/>
        <w:sz w:val="28"/>
        <w:szCs w:val="28"/>
      </w:rPr>
      <w:instrText xml:space="preserve">PAGE   \* MERGEFORMAT</w:instrText>
    </w:r>
    <w:r>
      <w:rPr>
        <w:rFonts w:ascii="宋体" w:hAnsi="宋体" w:cs="Calibri"/>
        <w:sz w:val="28"/>
        <w:szCs w:val="28"/>
      </w:rPr>
      <w:fldChar w:fldCharType="separate"/>
    </w:r>
    <w:r>
      <w:rPr>
        <w:rFonts w:ascii="宋体" w:hAnsi="宋体" w:cs="Calibri"/>
        <w:sz w:val="28"/>
        <w:szCs w:val="28"/>
        <w:lang w:val="zh-CN"/>
      </w:rPr>
      <w:t>-</w:t>
    </w:r>
    <w:r>
      <w:rPr>
        <w:rFonts w:ascii="宋体" w:hAnsi="宋体" w:cs="Calibri"/>
        <w:sz w:val="28"/>
        <w:szCs w:val="28"/>
      </w:rPr>
      <w:t xml:space="preserve"> 17 -</w:t>
    </w:r>
    <w:r>
      <w:rPr>
        <w:rFonts w:ascii="宋体" w:hAnsi="宋体" w:cs="Calibri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MTM5MzlhNjZiNTg3NTU4MTgyZGUzMDNjMGIwOTcifQ=="/>
  </w:docVars>
  <w:rsids>
    <w:rsidRoot w:val="071D713F"/>
    <w:rsid w:val="071D713F"/>
    <w:rsid w:val="41E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810</Characters>
  <Lines>0</Lines>
  <Paragraphs>0</Paragraphs>
  <TotalTime>1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2023-05-16T01:56:00Z</dcterms:created>
  <dc:creator>cww</dc:creator>
  <cp:lastModifiedBy>cww</cp:lastModifiedBy>
  <dcterms:modified xsi:type="dcterms:W3CDTF">2023-05-24T16:26:04Z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06B818744E0148EF8358DB26E2B72EB4_11</vt:lpwstr>
  </property>
</Properties>
</file>