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both"/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/>
        </w:rPr>
      </w:pPr>
      <w:r>
        <w:rPr>
          <w:rFonts w:hint="eastAsia" w:ascii="黑体" w:hAnsi="宋体" w:eastAsia="黑体" w:cs="黑体"/>
          <w:kern w:val="0"/>
          <w:sz w:val="32"/>
          <w:szCs w:val="32"/>
          <w:lang w:val="zh-CN" w:eastAsia="zh-CN" w:bidi="ar"/>
        </w:rPr>
        <w:t>附件</w:t>
      </w:r>
      <w:r>
        <w:rPr>
          <w:rFonts w:hint="eastAsia" w:ascii="黑体" w:hAnsi="宋体" w:eastAsia="黑体" w:cs="黑体"/>
          <w:kern w:val="0"/>
          <w:sz w:val="32"/>
          <w:szCs w:val="32"/>
          <w:lang w:val="en-US" w:eastAsia="zh-CN" w:bidi="ar"/>
        </w:rPr>
        <w:t>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方正小标宋简体"/>
          <w:b/>
          <w:bCs w:val="0"/>
          <w:kern w:val="0"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方正小标宋简体" w:cs="方正小标宋简体"/>
          <w:b/>
          <w:bCs w:val="0"/>
          <w:kern w:val="0"/>
          <w:sz w:val="44"/>
          <w:szCs w:val="44"/>
          <w:lang w:val="zh-CN" w:eastAsia="zh-CN" w:bidi="ar"/>
        </w:rPr>
        <w:t>杭州师范大学第二十四次学生代表大会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方正小标宋简体"/>
          <w:b/>
          <w:bCs w:val="0"/>
          <w:kern w:val="0"/>
          <w:sz w:val="44"/>
          <w:szCs w:val="44"/>
          <w:lang w:val="zh-CN" w:eastAsia="zh-CN"/>
        </w:rPr>
      </w:pPr>
      <w:r>
        <w:rPr>
          <w:rFonts w:hint="eastAsia" w:ascii="Times New Roman" w:hAnsi="Times New Roman" w:eastAsia="方正小标宋简体" w:cs="方正小标宋简体"/>
          <w:b/>
          <w:bCs w:val="0"/>
          <w:kern w:val="0"/>
          <w:sz w:val="44"/>
          <w:szCs w:val="44"/>
          <w:lang w:val="zh-CN" w:eastAsia="zh-CN" w:bidi="ar"/>
        </w:rPr>
        <w:t>正式代表名额分配方案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600" w:lineRule="exact"/>
        <w:ind w:left="0" w:right="0"/>
        <w:jc w:val="center"/>
        <w:rPr>
          <w:rFonts w:hint="default" w:ascii="Times New Roman" w:hAnsi="Times New Roman" w:eastAsia="方正小标宋简体" w:cs="方正小标宋简体"/>
          <w:b/>
          <w:bCs w:val="0"/>
          <w:kern w:val="0"/>
          <w:sz w:val="36"/>
          <w:szCs w:val="36"/>
          <w:lang w:val="zh-CN" w:eastAsia="zh-CN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834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第一代表团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数学学院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物理学院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公共卫生学院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第二代表团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材料与化学化工学院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生命与环境科学学院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第三代表团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经济学院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阿里巴巴商学院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哈尔科夫学院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第四代表团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公共管理学院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人文学院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药学院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第五代表团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马克思主义学院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 xml:space="preserve">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经亨颐教育学院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第六代表团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外国语学院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美术学院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工学院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第七代表团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信息科学与技术学院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音乐学院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护理学院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第八代表团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沈钧儒法学院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基础医学院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文化创意与传媒学院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第九代表团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体育学院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钱江学院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18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  <w:r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"/>
        </w:rPr>
        <w:br w:type="page"/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8"/>
        <w:gridCol w:w="2834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4"/>
                <w:lang w:val="en-US"/>
              </w:rPr>
            </w:pPr>
            <w:r>
              <w:rPr>
                <w:rFonts w:hint="eastAsia" w:ascii="黑体" w:hAnsi="宋体" w:eastAsia="黑体" w:cs="黑体"/>
                <w:kern w:val="2"/>
                <w:sz w:val="24"/>
                <w:szCs w:val="24"/>
                <w:lang w:val="en-US" w:eastAsia="zh-CN" w:bidi="ar"/>
              </w:rPr>
              <w:t>代表名额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第十代表团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附属医院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数学学院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物理学院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公共卫生学院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材料与化学化工学院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生命与环境科学学院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经济学院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阿里巴巴商学院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哈尔科夫学院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公共管理学院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人文学院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第十一代表团</w:t>
            </w: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药学院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经亨颐教育学院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外国语学院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美术学院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信息科学与技术学院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音乐学院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护理学院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沈钧儒法学院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基础医学院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文化创意与传媒学院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体育学院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9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Calibri"/>
                <w:sz w:val="20"/>
                <w:szCs w:val="20"/>
              </w:rPr>
            </w:pPr>
          </w:p>
        </w:tc>
        <w:tc>
          <w:tcPr>
            <w:tcW w:w="2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钱江学院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总数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Calibri" w:eastAsia="仿宋_GB2312" w:cs="仿宋_GB2312"/>
                <w:kern w:val="2"/>
                <w:sz w:val="24"/>
                <w:szCs w:val="24"/>
                <w:lang w:val="en-US" w:eastAsia="zh-CN" w:bidi="ar"/>
              </w:rPr>
              <w:t>277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5YWRiNDc2OGQ3NzcyMzA1NWJmMjBlNjM0MDRlODcifQ=="/>
  </w:docVars>
  <w:rsids>
    <w:rsidRoot w:val="50BF4DE5"/>
    <w:rsid w:val="50B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2022-11-18T03:18:00Z</dcterms:created>
  <dc:creator>ZHANG</dc:creator>
  <cp:lastModifiedBy>ZHANG</cp:lastModifiedBy>
  <dcterms:modified xsi:type="dcterms:W3CDTF">2022-11-18T03:28:30Z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5B1CC1B47276413898A181FCD1A8487A</vt:lpwstr>
  </property>
</Properties>
</file>