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Times New Roman" w:hAnsi="Times New Roman" w:eastAsia="仿宋_GB2312"/>
          <w:b/>
          <w:bCs/>
          <w:color w:val="000000"/>
          <w:sz w:val="32"/>
          <w:szCs w:val="32"/>
        </w:rPr>
      </w:pPr>
      <w:r>
        <w:rPr>
          <w:rFonts w:hint="eastAsia" w:ascii="仿宋_GB2312" w:hAnsi="宋体" w:eastAsia="仿宋_GB2312" w:cs="仿宋_GB2312"/>
          <w:b/>
          <w:bCs/>
          <w:color w:val="000000"/>
          <w:sz w:val="32"/>
          <w:szCs w:val="32"/>
        </w:rPr>
        <w:t>附件</w:t>
      </w:r>
      <w:r>
        <w:rPr>
          <w:rFonts w:ascii="Times New Roman" w:hAnsi="Times New Roman" w:eastAsia="仿宋_GB2312"/>
          <w:b/>
          <w:bCs/>
          <w:color w:val="000000"/>
          <w:sz w:val="32"/>
          <w:szCs w:val="32"/>
        </w:rPr>
        <w:t>4</w:t>
      </w:r>
    </w:p>
    <w:p>
      <w:pPr>
        <w:jc w:val="center"/>
        <w:rPr>
          <w:rFonts w:hint="eastAsia" w:ascii="方正宋简体" w:hAnsi="方正宋简体" w:eastAsia="方正宋简体" w:cs="方正宋简体"/>
          <w:b/>
          <w:sz w:val="52"/>
          <w:szCs w:val="52"/>
          <w:lang w:eastAsia="zh-CN"/>
        </w:rPr>
      </w:pPr>
      <w:r>
        <w:rPr>
          <w:rFonts w:hint="eastAsia" w:ascii="方正宋简体" w:hAnsi="方正宋简体" w:eastAsia="方正宋简体" w:cs="方正宋简体"/>
          <w:b/>
          <w:sz w:val="52"/>
          <w:szCs w:val="52"/>
          <w:lang w:eastAsia="zh-CN"/>
        </w:rPr>
        <w:drawing>
          <wp:inline distT="0" distB="0" distL="114300" distR="114300">
            <wp:extent cx="1123950" cy="1146810"/>
            <wp:effectExtent l="0" t="0" r="0" b="15240"/>
            <wp:docPr id="1" name="图片 1" descr="lALPJwKtwsLq0vXNBRnNBQA_1280_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LPJwKtwsLq0vXNBRnNBQA_1280_1305"/>
                    <pic:cNvPicPr>
                      <a:picLocks noChangeAspect="1"/>
                    </pic:cNvPicPr>
                  </pic:nvPicPr>
                  <pic:blipFill>
                    <a:blip r:embed="rId5"/>
                    <a:stretch>
                      <a:fillRect/>
                    </a:stretch>
                  </pic:blipFill>
                  <pic:spPr>
                    <a:xfrm>
                      <a:off x="0" y="0"/>
                      <a:ext cx="1123950" cy="1146810"/>
                    </a:xfrm>
                    <a:prstGeom prst="rect">
                      <a:avLst/>
                    </a:prstGeom>
                  </pic:spPr>
                </pic:pic>
              </a:graphicData>
            </a:graphic>
          </wp:inline>
        </w:drawing>
      </w:r>
    </w:p>
    <w:p>
      <w:pPr>
        <w:jc w:val="center"/>
        <w:outlineLvl w:val="0"/>
        <w:rPr>
          <w:rFonts w:hint="eastAsia" w:ascii="方正小标宋简体" w:hAnsi="方正小标宋简体" w:eastAsia="方正小标宋简体" w:cs="方正小标宋简体"/>
          <w:b/>
          <w:sz w:val="48"/>
          <w:szCs w:val="48"/>
        </w:rPr>
      </w:pPr>
      <w:r>
        <w:rPr>
          <w:rFonts w:hint="eastAsia" w:ascii="方正小标宋简体" w:hAnsi="方正小标宋简体" w:eastAsia="方正小标宋简体" w:cs="方正小标宋简体"/>
          <w:b/>
          <w:sz w:val="48"/>
          <w:szCs w:val="48"/>
        </w:rPr>
        <w:t>杭州师范大学第二十</w:t>
      </w:r>
      <w:r>
        <w:rPr>
          <w:rFonts w:hint="eastAsia" w:ascii="方正小标宋简体" w:hAnsi="方正小标宋简体" w:eastAsia="方正小标宋简体" w:cs="方正小标宋简体"/>
          <w:b/>
          <w:sz w:val="48"/>
          <w:szCs w:val="48"/>
          <w:lang w:val="en-US" w:eastAsia="zh-CN"/>
        </w:rPr>
        <w:t>八</w:t>
      </w:r>
      <w:r>
        <w:rPr>
          <w:rFonts w:hint="eastAsia" w:ascii="方正小标宋简体" w:hAnsi="方正小标宋简体" w:eastAsia="方正小标宋简体" w:cs="方正小标宋简体"/>
          <w:b/>
          <w:sz w:val="48"/>
          <w:szCs w:val="48"/>
        </w:rPr>
        <w:t>期团校</w:t>
      </w:r>
    </w:p>
    <w:p>
      <w:pPr>
        <w:jc w:val="center"/>
        <w:outlineLvl w:val="0"/>
        <w:rPr>
          <w:rFonts w:hint="eastAsia" w:ascii="方正宋简体" w:hAnsi="方正宋简体" w:eastAsia="方正宋简体" w:cs="方正宋简体"/>
          <w:b/>
          <w:sz w:val="48"/>
          <w:szCs w:val="48"/>
        </w:rPr>
      </w:pPr>
    </w:p>
    <w:p>
      <w:pPr>
        <w:jc w:val="center"/>
        <w:outlineLvl w:val="0"/>
        <w:rPr>
          <w:rFonts w:hint="eastAsia" w:ascii="仿宋_GB2312" w:hAnsi="仿宋_GB2312" w:eastAsia="仿宋_GB2312" w:cs="仿宋_GB2312"/>
          <w:b/>
          <w:sz w:val="84"/>
          <w:szCs w:val="84"/>
        </w:rPr>
      </w:pPr>
      <w:r>
        <w:rPr>
          <w:rFonts w:hint="eastAsia" w:ascii="仿宋_GB2312" w:hAnsi="仿宋_GB2312" w:eastAsia="仿宋_GB2312" w:cs="仿宋_GB2312"/>
          <w:b/>
          <w:sz w:val="84"/>
          <w:szCs w:val="84"/>
        </w:rPr>
        <w:t>培</w:t>
      </w:r>
    </w:p>
    <w:p>
      <w:pPr>
        <w:jc w:val="center"/>
        <w:outlineLvl w:val="0"/>
        <w:rPr>
          <w:rFonts w:hint="eastAsia" w:ascii="仿宋_GB2312" w:hAnsi="仿宋_GB2312" w:eastAsia="仿宋_GB2312" w:cs="仿宋_GB2312"/>
          <w:b/>
          <w:sz w:val="84"/>
          <w:szCs w:val="84"/>
        </w:rPr>
      </w:pPr>
      <w:r>
        <w:rPr>
          <w:rFonts w:hint="eastAsia" w:ascii="仿宋_GB2312" w:hAnsi="仿宋_GB2312" w:eastAsia="仿宋_GB2312" w:cs="仿宋_GB2312"/>
          <w:b/>
          <w:sz w:val="84"/>
          <w:szCs w:val="84"/>
        </w:rPr>
        <w:t>训</w:t>
      </w:r>
    </w:p>
    <w:p>
      <w:pPr>
        <w:jc w:val="center"/>
        <w:outlineLvl w:val="0"/>
        <w:rPr>
          <w:rFonts w:hint="eastAsia" w:ascii="仿宋_GB2312" w:hAnsi="仿宋_GB2312" w:eastAsia="仿宋_GB2312" w:cs="仿宋_GB2312"/>
          <w:b/>
          <w:sz w:val="84"/>
          <w:szCs w:val="84"/>
        </w:rPr>
      </w:pPr>
      <w:r>
        <w:rPr>
          <w:rFonts w:hint="eastAsia" w:ascii="仿宋_GB2312" w:hAnsi="仿宋_GB2312" w:eastAsia="仿宋_GB2312" w:cs="仿宋_GB2312"/>
          <w:b/>
          <w:sz w:val="84"/>
          <w:szCs w:val="84"/>
        </w:rPr>
        <w:t>手</w:t>
      </w:r>
    </w:p>
    <w:p>
      <w:pPr>
        <w:jc w:val="center"/>
        <w:outlineLvl w:val="0"/>
        <w:rPr>
          <w:rFonts w:hint="eastAsia" w:ascii="仿宋_GB2312" w:hAnsi="仿宋_GB2312" w:eastAsia="仿宋_GB2312" w:cs="仿宋_GB2312"/>
          <w:b/>
          <w:sz w:val="72"/>
          <w:szCs w:val="72"/>
        </w:rPr>
      </w:pPr>
      <w:r>
        <w:rPr>
          <w:rFonts w:hint="eastAsia" w:ascii="仿宋_GB2312" w:hAnsi="仿宋_GB2312" w:eastAsia="仿宋_GB2312" w:cs="仿宋_GB2312"/>
          <w:b/>
          <w:sz w:val="84"/>
          <w:szCs w:val="84"/>
        </w:rPr>
        <w:t>册</w:t>
      </w:r>
    </w:p>
    <w:p>
      <w:pPr>
        <w:rPr>
          <w:rFonts w:hint="eastAsia" w:ascii="华文新魏" w:hAnsi="华文新魏" w:eastAsia="华文新魏" w:cs="华文新魏"/>
          <w:bCs/>
          <w:sz w:val="36"/>
          <w:szCs w:val="36"/>
        </w:rPr>
      </w:pPr>
    </w:p>
    <w:p>
      <w:pPr>
        <w:rPr>
          <w:rFonts w:hint="eastAsia" w:ascii="华文新魏" w:hAnsi="华文新魏" w:eastAsia="华文新魏" w:cs="华文新魏"/>
          <w:bCs/>
          <w:sz w:val="36"/>
          <w:szCs w:val="36"/>
        </w:rPr>
      </w:pPr>
    </w:p>
    <w:p>
      <w:pPr>
        <w:rPr>
          <w:rFonts w:hint="eastAsia" w:ascii="华文新魏" w:hAnsi="华文新魏" w:eastAsia="华文新魏" w:cs="华文新魏"/>
          <w:bCs/>
          <w:sz w:val="36"/>
          <w:szCs w:val="36"/>
        </w:rPr>
      </w:pPr>
    </w:p>
    <w:p>
      <w:pPr>
        <w:jc w:val="center"/>
        <w:rPr>
          <w:rFonts w:hint="eastAsia" w:ascii="仿宋_GB2312" w:hAnsi="仿宋_GB2312" w:eastAsia="仿宋_GB2312" w:cs="仿宋_GB2312"/>
          <w:b/>
          <w:sz w:val="36"/>
          <w:szCs w:val="36"/>
        </w:rPr>
      </w:pPr>
      <w:r>
        <w:rPr>
          <w:rFonts w:hint="eastAsia" w:ascii="仿宋_GB2312" w:hAnsi="仿宋_GB2312" w:eastAsia="仿宋_GB2312" w:cs="仿宋_GB2312"/>
          <w:b/>
          <w:sz w:val="36"/>
          <w:szCs w:val="36"/>
        </w:rPr>
        <w:t>共青团杭州师范大学委员会</w:t>
      </w:r>
    </w:p>
    <w:p>
      <w:pPr>
        <w:jc w:val="center"/>
        <w:rPr>
          <w:rFonts w:hint="eastAsia" w:ascii="方正小标宋简体" w:hAnsi="方正小标宋简体" w:eastAsia="方正小标宋简体" w:cs="方正小标宋简体"/>
          <w:sz w:val="44"/>
          <w:szCs w:val="44"/>
        </w:rPr>
      </w:pPr>
      <w:r>
        <w:rPr>
          <w:rFonts w:hint="eastAsia" w:ascii="仿宋_GB2312" w:hAnsi="仿宋_GB2312" w:eastAsia="仿宋_GB2312" w:cs="仿宋_GB2312"/>
          <w:b/>
          <w:sz w:val="36"/>
          <w:szCs w:val="36"/>
        </w:rPr>
        <w:t>202</w:t>
      </w:r>
      <w:r>
        <w:rPr>
          <w:rFonts w:hint="eastAsia" w:ascii="仿宋_GB2312" w:hAnsi="仿宋_GB2312" w:eastAsia="仿宋_GB2312" w:cs="仿宋_GB2312"/>
          <w:b/>
          <w:sz w:val="36"/>
          <w:szCs w:val="36"/>
          <w:lang w:val="en-US" w:eastAsia="zh-CN"/>
        </w:rPr>
        <w:t>1</w:t>
      </w:r>
      <w:r>
        <w:rPr>
          <w:rFonts w:hint="eastAsia" w:ascii="仿宋_GB2312" w:hAnsi="仿宋_GB2312" w:eastAsia="仿宋_GB2312" w:cs="仿宋_GB2312"/>
          <w:b/>
          <w:sz w:val="36"/>
          <w:szCs w:val="36"/>
        </w:rPr>
        <w:t>年</w:t>
      </w:r>
      <w:r>
        <w:rPr>
          <w:rFonts w:hint="eastAsia" w:ascii="仿宋_GB2312" w:hAnsi="仿宋_GB2312" w:eastAsia="仿宋_GB2312" w:cs="仿宋_GB2312"/>
          <w:b/>
          <w:sz w:val="36"/>
          <w:szCs w:val="36"/>
          <w:lang w:val="en-US" w:eastAsia="zh-CN"/>
        </w:rPr>
        <w:t>11</w:t>
      </w:r>
      <w:r>
        <w:rPr>
          <w:rFonts w:hint="eastAsia" w:ascii="仿宋_GB2312" w:hAnsi="仿宋_GB2312" w:eastAsia="仿宋_GB2312" w:cs="仿宋_GB2312"/>
          <w:b/>
          <w:sz w:val="36"/>
          <w:szCs w:val="36"/>
        </w:rPr>
        <w:t>月</w:t>
      </w:r>
      <w:r>
        <w:rPr>
          <w:rFonts w:hint="eastAsia" w:ascii="仿宋_GB2312" w:hAnsi="宋体" w:eastAsia="仿宋_GB2312" w:cs="仿宋_GB2312"/>
          <w:color w:val="000000"/>
          <w:sz w:val="31"/>
          <w:szCs w:val="31"/>
        </w:rPr>
        <w:br w:type="page"/>
      </w:r>
      <w:bookmarkStart w:id="0" w:name="_Toc402982245"/>
      <w:bookmarkStart w:id="1" w:name="_Toc402982240"/>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目  录</w:t>
      </w:r>
    </w:p>
    <w:p>
      <w:pPr>
        <w:pStyle w:val="9"/>
        <w:tabs>
          <w:tab w:val="right" w:leader="dot" w:pos="8306"/>
        </w:tabs>
        <w:rPr>
          <w:rFonts w:hint="eastAsia" w:ascii="仿宋_GB2312" w:hAnsi="仿宋_GB2312" w:eastAsia="仿宋_GB2312" w:cs="仿宋_GB2312"/>
          <w:sz w:val="32"/>
          <w:szCs w:val="32"/>
        </w:rPr>
      </w:pPr>
    </w:p>
    <w:p>
      <w:pPr>
        <w:pStyle w:val="9"/>
        <w:tabs>
          <w:tab w:val="right" w:leader="dot" w:pos="8306"/>
        </w:tabs>
        <w:rPr>
          <w:rFonts w:hint="eastAsia" w:ascii="仿宋_GB2312" w:hAnsi="仿宋_GB2312" w:eastAsia="仿宋_GB2312" w:cs="仿宋_GB2312"/>
          <w:sz w:val="32"/>
          <w:szCs w:val="32"/>
        </w:rPr>
      </w:pPr>
      <w:r>
        <w:fldChar w:fldCharType="begin"/>
      </w:r>
      <w:r>
        <w:instrText xml:space="preserve"> HYPERLINK \l "_Toc9802" </w:instrText>
      </w:r>
      <w:r>
        <w:fldChar w:fldCharType="separate"/>
      </w:r>
      <w:r>
        <w:rPr>
          <w:rFonts w:hint="eastAsia" w:ascii="仿宋_GB2312" w:hAnsi="仿宋_GB2312" w:eastAsia="仿宋_GB2312" w:cs="仿宋_GB2312"/>
          <w:sz w:val="32"/>
          <w:szCs w:val="32"/>
        </w:rPr>
        <w:t>杭州师范大学团校章程</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p>
    <w:p>
      <w:pPr>
        <w:pStyle w:val="9"/>
        <w:tabs>
          <w:tab w:val="right" w:leader="dot" w:pos="8306"/>
        </w:tabs>
        <w:rPr>
          <w:rFonts w:hint="eastAsia" w:ascii="仿宋_GB2312" w:hAnsi="仿宋_GB2312" w:eastAsia="仿宋_GB2312" w:cs="仿宋_GB2312"/>
          <w:sz w:val="32"/>
          <w:szCs w:val="32"/>
        </w:rPr>
      </w:pPr>
      <w:r>
        <w:fldChar w:fldCharType="begin"/>
      </w:r>
      <w:r>
        <w:instrText xml:space="preserve"> HYPERLINK \l "_Toc18582" </w:instrText>
      </w:r>
      <w:r>
        <w:fldChar w:fldCharType="separate"/>
      </w:r>
      <w:r>
        <w:rPr>
          <w:rFonts w:hint="eastAsia" w:ascii="仿宋_GB2312" w:hAnsi="仿宋_GB2312" w:eastAsia="仿宋_GB2312" w:cs="仿宋_GB2312"/>
          <w:sz w:val="32"/>
          <w:szCs w:val="32"/>
        </w:rPr>
        <w:t>杭州师范大学团校机构设置</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5</w:t>
      </w:r>
      <w:r>
        <w:rPr>
          <w:rFonts w:hint="eastAsia" w:ascii="仿宋_GB2312" w:hAnsi="仿宋_GB2312" w:eastAsia="仿宋_GB2312" w:cs="仿宋_GB2312"/>
          <w:sz w:val="32"/>
          <w:szCs w:val="32"/>
        </w:rPr>
        <w:fldChar w:fldCharType="end"/>
      </w:r>
    </w:p>
    <w:p>
      <w:pPr>
        <w:pStyle w:val="9"/>
        <w:tabs>
          <w:tab w:val="right" w:leader="dot" w:pos="8306"/>
        </w:tabs>
        <w:rPr>
          <w:rFonts w:hint="eastAsia" w:ascii="仿宋_GB2312" w:hAnsi="仿宋_GB2312" w:eastAsia="仿宋_GB2312" w:cs="仿宋_GB2312"/>
          <w:sz w:val="32"/>
          <w:szCs w:val="32"/>
        </w:rPr>
      </w:pPr>
      <w:r>
        <w:fldChar w:fldCharType="begin"/>
      </w:r>
      <w:r>
        <w:instrText xml:space="preserve"> HYPERLINK \l "_Toc9164" </w:instrText>
      </w:r>
      <w:r>
        <w:fldChar w:fldCharType="separate"/>
      </w:r>
      <w:r>
        <w:rPr>
          <w:rFonts w:hint="eastAsia" w:ascii="仿宋_GB2312" w:hAnsi="仿宋_GB2312" w:eastAsia="仿宋_GB2312" w:cs="仿宋_GB2312"/>
          <w:sz w:val="32"/>
          <w:szCs w:val="32"/>
        </w:rPr>
        <w:t>杭州师范大学团校学员须知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t>6</w:t>
      </w:r>
      <w:r>
        <w:rPr>
          <w:rFonts w:hint="eastAsia" w:ascii="仿宋_GB2312" w:hAnsi="仿宋_GB2312" w:eastAsia="仿宋_GB2312" w:cs="仿宋_GB2312"/>
          <w:sz w:val="32"/>
          <w:szCs w:val="32"/>
        </w:rPr>
        <w:fldChar w:fldCharType="end"/>
      </w:r>
    </w:p>
    <w:p>
      <w:pPr>
        <w:pStyle w:val="9"/>
        <w:tabs>
          <w:tab w:val="right" w:leader="dot" w:pos="8306"/>
        </w:tabs>
      </w:pPr>
    </w:p>
    <w:p>
      <w:pPr>
        <w:rPr>
          <w:rFonts w:hint="eastAsia"/>
        </w:rPr>
      </w:pPr>
    </w:p>
    <w:p>
      <w:pPr>
        <w:pStyle w:val="2"/>
        <w:jc w:val="center"/>
        <w:rPr>
          <w:rFonts w:hint="eastAsia" w:ascii="方正小标宋简体" w:hAnsi="方正小标宋简体" w:eastAsia="方正小标宋简体" w:cs="方正小标宋简体"/>
        </w:rPr>
        <w:sectPr>
          <w:footerReference r:id="rId3" w:type="default"/>
          <w:pgSz w:w="11906" w:h="16838"/>
          <w:pgMar w:top="1440" w:right="1800" w:bottom="1440" w:left="1800" w:header="851" w:footer="992" w:gutter="0"/>
          <w:pgNumType w:start="1"/>
          <w:cols w:space="720" w:num="1"/>
          <w:docGrid w:type="lines" w:linePitch="312" w:charSpace="0"/>
        </w:sectPr>
      </w:pPr>
      <w:bookmarkStart w:id="2" w:name="_Toc14346"/>
      <w:bookmarkStart w:id="3" w:name="_Toc26361"/>
    </w:p>
    <w:p>
      <w:pPr>
        <w:pStyle w:val="2"/>
        <w:jc w:val="center"/>
        <w:rPr>
          <w:rFonts w:hint="eastAsia" w:ascii="方正小标宋简体" w:hAnsi="方正小标宋简体" w:eastAsia="方正小标宋简体" w:cs="方正小标宋简体"/>
        </w:rPr>
      </w:pPr>
      <w:bookmarkStart w:id="4" w:name="_Toc9802"/>
      <w:r>
        <w:rPr>
          <w:rFonts w:hint="eastAsia" w:ascii="方正小标宋简体" w:hAnsi="方正小标宋简体" w:eastAsia="方正小标宋简体" w:cs="方正小标宋简体"/>
        </w:rPr>
        <w:t>杭州师范大学团校章程</w:t>
      </w:r>
      <w:bookmarkEnd w:id="0"/>
      <w:bookmarkEnd w:id="2"/>
      <w:bookmarkEnd w:id="3"/>
      <w:bookmarkEnd w:id="4"/>
    </w:p>
    <w:p>
      <w:pPr>
        <w:widowControl/>
        <w:tabs>
          <w:tab w:val="left" w:pos="720"/>
        </w:tabs>
        <w:spacing w:before="100" w:beforeAutospacing="1" w:after="100" w:afterAutospacing="1" w:line="312" w:lineRule="auto"/>
        <w:jc w:val="center"/>
        <w:rPr>
          <w:rFonts w:hint="eastAsia" w:ascii="黑体" w:hAnsi="黑体" w:eastAsia="黑体" w:cs="黑体"/>
          <w:b/>
          <w:sz w:val="32"/>
          <w:szCs w:val="32"/>
        </w:rPr>
      </w:pPr>
      <w:r>
        <w:rPr>
          <w:rFonts w:hint="eastAsia" w:ascii="黑体" w:hAnsi="黑体" w:eastAsia="黑体" w:cs="黑体"/>
          <w:b/>
          <w:sz w:val="32"/>
          <w:szCs w:val="32"/>
        </w:rPr>
        <w:t>总  则</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第一条 杭州师范大学团校是校团委下属的对团员、学生骨干进行思想政治教育、团的基本理论知识教育和团学工作业务培训的阵地，旨在通过内容丰富、形式多样的培训课程，提高学员的政治水平、业务技能和综合素质，培养学员之间互助合作的团队精神，努力培养复合型的团员和学生骨干，更好地促进我校共青团工作的开展。</w:t>
      </w:r>
    </w:p>
    <w:p>
      <w:pPr>
        <w:widowControl/>
        <w:tabs>
          <w:tab w:val="left" w:pos="720"/>
        </w:tabs>
        <w:spacing w:before="100" w:beforeAutospacing="1" w:after="100" w:afterAutospacing="1" w:line="312" w:lineRule="auto"/>
        <w:jc w:val="center"/>
        <w:rPr>
          <w:rFonts w:hint="eastAsia" w:ascii="黑体" w:hAnsi="黑体" w:eastAsia="黑体" w:cs="黑体"/>
          <w:b/>
          <w:sz w:val="32"/>
          <w:szCs w:val="32"/>
        </w:rPr>
      </w:pPr>
      <w:r>
        <w:rPr>
          <w:rFonts w:hint="eastAsia" w:ascii="黑体" w:hAnsi="黑体" w:eastAsia="黑体" w:cs="黑体"/>
          <w:b/>
          <w:sz w:val="32"/>
          <w:szCs w:val="32"/>
        </w:rPr>
        <w:t>第一章  学  员</w:t>
      </w:r>
    </w:p>
    <w:p>
      <w:pPr>
        <w:tabs>
          <w:tab w:val="left" w:pos="660"/>
        </w:tabs>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w:t>
      </w:r>
      <w:r>
        <w:rPr>
          <w:rFonts w:ascii="仿宋_GB2312" w:hAnsi="仿宋_GB2312" w:eastAsia="仿宋_GB2312" w:cs="仿宋_GB2312"/>
          <w:sz w:val="28"/>
          <w:szCs w:val="28"/>
        </w:rPr>
        <w:t>二</w:t>
      </w:r>
      <w:r>
        <w:rPr>
          <w:rFonts w:hint="eastAsia" w:ascii="仿宋_GB2312" w:hAnsi="仿宋_GB2312" w:eastAsia="仿宋_GB2312" w:cs="仿宋_GB2312"/>
          <w:sz w:val="28"/>
          <w:szCs w:val="28"/>
        </w:rPr>
        <w:t>条 团校的培训对象一般为</w:t>
      </w:r>
      <w:r>
        <w:rPr>
          <w:rFonts w:ascii="仿宋_GB2312" w:hAnsi="仿宋_GB2312" w:eastAsia="仿宋_GB2312" w:cs="仿宋_GB2312"/>
          <w:sz w:val="28"/>
          <w:szCs w:val="28"/>
        </w:rPr>
        <w:t>普通团员、团干部、</w:t>
      </w:r>
      <w:r>
        <w:rPr>
          <w:rFonts w:hint="eastAsia" w:ascii="仿宋_GB2312" w:hAnsi="仿宋_GB2312" w:eastAsia="仿宋_GB2312" w:cs="仿宋_GB2312"/>
          <w:sz w:val="28"/>
          <w:szCs w:val="28"/>
        </w:rPr>
        <w:t>共青团指导的各级学生组织中的主要学生骨干和入团积极分子。</w:t>
      </w:r>
    </w:p>
    <w:p>
      <w:pPr>
        <w:tabs>
          <w:tab w:val="left" w:pos="660"/>
        </w:tabs>
        <w:spacing w:line="360" w:lineRule="auto"/>
        <w:ind w:left="561" w:leftChars="26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w:t>
      </w:r>
      <w:r>
        <w:rPr>
          <w:rFonts w:ascii="仿宋_GB2312" w:hAnsi="仿宋_GB2312" w:eastAsia="仿宋_GB2312" w:cs="仿宋_GB2312"/>
          <w:sz w:val="28"/>
          <w:szCs w:val="28"/>
        </w:rPr>
        <w:t>三</w:t>
      </w:r>
      <w:r>
        <w:rPr>
          <w:rFonts w:hint="eastAsia" w:ascii="仿宋_GB2312" w:hAnsi="仿宋_GB2312" w:eastAsia="仿宋_GB2312" w:cs="仿宋_GB2312"/>
          <w:sz w:val="28"/>
          <w:szCs w:val="28"/>
        </w:rPr>
        <w:t xml:space="preserve">条 学员必须履行下列义务 </w:t>
      </w:r>
    </w:p>
    <w:p>
      <w:pPr>
        <w:tabs>
          <w:tab w:val="left" w:pos="660"/>
        </w:tabs>
        <w:spacing w:line="360"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1、严格履行团校章程，遵守团的纪律及团校纪律，执行团校的决定，维护团校的利益；</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2、认真学习团校各类课程，积极完成团校交给的各项任务，并努力做到理论联系实际；</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3、认真做好课堂笔记，积极参与课堂讨论、发言，主动与教师沟通思想，交流工作方法,按要求完成团校布置的作业，及时向团校汇报学习心得及思想认识的变化情况；</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4、虚心向同学学习，热心帮助同学进步，及时反映青年学生的思想动态；</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5、开展批评与自我批评，勇于改正缺点和错误，自觉维护团结。</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w:t>
      </w:r>
      <w:r>
        <w:rPr>
          <w:rFonts w:ascii="仿宋_GB2312" w:hAnsi="仿宋_GB2312" w:eastAsia="仿宋_GB2312" w:cs="仿宋_GB2312"/>
          <w:sz w:val="28"/>
          <w:szCs w:val="28"/>
        </w:rPr>
        <w:t>四</w:t>
      </w:r>
      <w:r>
        <w:rPr>
          <w:rFonts w:hint="eastAsia" w:ascii="仿宋_GB2312" w:hAnsi="仿宋_GB2312" w:eastAsia="仿宋_GB2312" w:cs="仿宋_GB2312"/>
          <w:sz w:val="28"/>
          <w:szCs w:val="28"/>
        </w:rPr>
        <w:t xml:space="preserve">条 学员享有下列权利 </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1、参加团校组织的理论学习、交流讨论等各类活动，接受团校的教育和培训；</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2、对团校的工作提出合理的</w:t>
      </w:r>
      <w:r>
        <w:rPr>
          <w:rFonts w:ascii="仿宋_GB2312" w:hAnsi="仿宋_GB2312" w:eastAsia="仿宋_GB2312" w:cs="仿宋_GB2312"/>
          <w:sz w:val="28"/>
          <w:szCs w:val="28"/>
        </w:rPr>
        <w:t>意见</w:t>
      </w:r>
      <w:r>
        <w:rPr>
          <w:rFonts w:hint="eastAsia" w:ascii="仿宋_GB2312" w:hAnsi="仿宋_GB2312" w:eastAsia="仿宋_GB2312" w:cs="仿宋_GB2312"/>
          <w:sz w:val="28"/>
          <w:szCs w:val="28"/>
        </w:rPr>
        <w:t>和建议；</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3、对团校的各类决定如有不同意见，在坚决执行的前提下，可以保留，并且可以向上级组织提出申诉；</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4、对于成绩优秀的学员，有</w:t>
      </w:r>
      <w:r>
        <w:rPr>
          <w:rFonts w:ascii="仿宋_GB2312" w:hAnsi="仿宋_GB2312" w:eastAsia="仿宋_GB2312" w:cs="仿宋_GB2312"/>
          <w:sz w:val="28"/>
          <w:szCs w:val="28"/>
        </w:rPr>
        <w:t>接</w:t>
      </w:r>
      <w:r>
        <w:rPr>
          <w:rFonts w:hint="eastAsia" w:ascii="仿宋_GB2312" w:hAnsi="仿宋_GB2312" w:eastAsia="仿宋_GB2312" w:cs="仿宋_GB2312"/>
          <w:sz w:val="28"/>
          <w:szCs w:val="28"/>
        </w:rPr>
        <w:t>受表彰奖励的权利；对团校作出的处分有异议者，有申辩的权利。</w:t>
      </w:r>
    </w:p>
    <w:p>
      <w:pPr>
        <w:widowControl/>
        <w:tabs>
          <w:tab w:val="left" w:pos="720"/>
        </w:tabs>
        <w:spacing w:before="100" w:beforeAutospacing="1" w:after="100" w:afterAutospacing="1" w:line="312" w:lineRule="auto"/>
        <w:jc w:val="center"/>
        <w:rPr>
          <w:rFonts w:hint="eastAsia" w:ascii="黑体" w:hAnsi="黑体" w:eastAsia="黑体" w:cs="黑体"/>
          <w:b/>
          <w:sz w:val="32"/>
          <w:szCs w:val="32"/>
        </w:rPr>
      </w:pPr>
      <w:r>
        <w:rPr>
          <w:rFonts w:hint="eastAsia" w:ascii="黑体" w:hAnsi="黑体" w:eastAsia="黑体" w:cs="黑体"/>
          <w:b/>
          <w:sz w:val="32"/>
          <w:szCs w:val="32"/>
        </w:rPr>
        <w:t>第二章 组织制度</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w:t>
      </w:r>
      <w:r>
        <w:rPr>
          <w:rFonts w:ascii="仿宋_GB2312" w:hAnsi="仿宋_GB2312" w:eastAsia="仿宋_GB2312" w:cs="仿宋_GB2312"/>
          <w:sz w:val="28"/>
          <w:szCs w:val="28"/>
        </w:rPr>
        <w:t>五</w:t>
      </w:r>
      <w:r>
        <w:rPr>
          <w:rFonts w:hint="eastAsia" w:ascii="仿宋_GB2312" w:hAnsi="仿宋_GB2312" w:eastAsia="仿宋_GB2312" w:cs="仿宋_GB2312"/>
          <w:sz w:val="28"/>
          <w:szCs w:val="28"/>
        </w:rPr>
        <w:t>条 团校最基本的组织原则是学员个人服从组织，少数服从多数，下级组织服从上级组织。</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w:t>
      </w:r>
      <w:r>
        <w:rPr>
          <w:rFonts w:ascii="仿宋_GB2312" w:hAnsi="仿宋_GB2312" w:eastAsia="仿宋_GB2312" w:cs="仿宋_GB2312"/>
          <w:sz w:val="28"/>
          <w:szCs w:val="28"/>
        </w:rPr>
        <w:t>六</w:t>
      </w:r>
      <w:r>
        <w:rPr>
          <w:rFonts w:hint="eastAsia" w:ascii="仿宋_GB2312" w:hAnsi="仿宋_GB2312" w:eastAsia="仿宋_GB2312" w:cs="仿宋_GB2312"/>
          <w:sz w:val="28"/>
          <w:szCs w:val="28"/>
        </w:rPr>
        <w:t>条 团校的最高组织机构是校务委员会：</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1、校务委员会的基本职责是统筹安排团校的教育培训任务，制订和实施教育计划；研究团校的教育和培训执行情况；对团校的工作作出决定和统一部署；</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2、校务委员会实行集体领导和个人分工负责相结合的制度；</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3、校务委员会的主要成员一般为担任团校名誉校长的校党委分管学生工作副书记、担任团校校长的校团委书记和落实开展团校各项日常工作的校团委有关人员；</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4、根据工作需要，校务委员会可以设立适当的临时部门，各部门负责人从每期团校的学员中择优产生并组成临时班委，配合校务委员会落实各项工作的开展和学员之间的联络。</w:t>
      </w:r>
    </w:p>
    <w:p>
      <w:pPr>
        <w:widowControl/>
        <w:tabs>
          <w:tab w:val="left" w:pos="720"/>
        </w:tabs>
        <w:spacing w:before="100" w:beforeAutospacing="1" w:after="100" w:afterAutospacing="1" w:line="312" w:lineRule="auto"/>
        <w:jc w:val="center"/>
        <w:rPr>
          <w:rFonts w:hint="eastAsia" w:ascii="黑体" w:hAnsi="黑体" w:eastAsia="黑体" w:cs="黑体"/>
          <w:b/>
          <w:sz w:val="32"/>
          <w:szCs w:val="32"/>
        </w:rPr>
      </w:pPr>
      <w:r>
        <w:rPr>
          <w:rFonts w:hint="eastAsia" w:ascii="黑体" w:hAnsi="黑体" w:eastAsia="黑体" w:cs="黑体"/>
          <w:b/>
          <w:sz w:val="32"/>
          <w:szCs w:val="32"/>
        </w:rPr>
        <w:t>第三章  学习制度</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w:t>
      </w:r>
      <w:r>
        <w:rPr>
          <w:rFonts w:ascii="仿宋_GB2312" w:hAnsi="仿宋_GB2312" w:eastAsia="仿宋_GB2312" w:cs="仿宋_GB2312"/>
          <w:sz w:val="28"/>
          <w:szCs w:val="28"/>
        </w:rPr>
        <w:t>七</w:t>
      </w:r>
      <w:r>
        <w:rPr>
          <w:rFonts w:hint="eastAsia" w:ascii="仿宋_GB2312" w:hAnsi="仿宋_GB2312" w:eastAsia="仿宋_GB2312" w:cs="仿宋_GB2312"/>
          <w:sz w:val="28"/>
          <w:szCs w:val="28"/>
        </w:rPr>
        <w:t>条 团校的培训内容应紧密结合形势变化、适应时代发展的需要，为培养高素质、全面发展的团员和学生骨干服务。</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w:t>
      </w:r>
      <w:r>
        <w:rPr>
          <w:rFonts w:ascii="仿宋_GB2312" w:hAnsi="仿宋_GB2312" w:eastAsia="仿宋_GB2312" w:cs="仿宋_GB2312"/>
          <w:sz w:val="28"/>
          <w:szCs w:val="28"/>
        </w:rPr>
        <w:t>八</w:t>
      </w:r>
      <w:r>
        <w:rPr>
          <w:rFonts w:hint="eastAsia" w:ascii="仿宋_GB2312" w:hAnsi="仿宋_GB2312" w:eastAsia="仿宋_GB2312" w:cs="仿宋_GB2312"/>
          <w:sz w:val="28"/>
          <w:szCs w:val="28"/>
        </w:rPr>
        <w:t>条 团校的具体培训内容一般为党和团的基本理论知识、团学工作基本技能、学生干部领导艺术、国内国际形势分析、心理健康教育、团队训练、社交礼仪等。</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w:t>
      </w:r>
      <w:r>
        <w:rPr>
          <w:rFonts w:ascii="仿宋_GB2312" w:hAnsi="仿宋_GB2312" w:eastAsia="仿宋_GB2312" w:cs="仿宋_GB2312"/>
          <w:sz w:val="28"/>
          <w:szCs w:val="28"/>
        </w:rPr>
        <w:t>九</w:t>
      </w:r>
      <w:r>
        <w:rPr>
          <w:rFonts w:hint="eastAsia" w:ascii="仿宋_GB2312" w:hAnsi="仿宋_GB2312" w:eastAsia="仿宋_GB2312" w:cs="仿宋_GB2312"/>
          <w:sz w:val="28"/>
          <w:szCs w:val="28"/>
        </w:rPr>
        <w:t>条 团校学习时间一般为一周，实行集中授课、个人自学、分组讨论、设计活动方案、外出考察、志愿服务结合的形式开展。</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第十条 团校的学员必须按时参加团校组织的各项活动，并联系实际对相关内容进行专题讨论。</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w:t>
      </w:r>
      <w:r>
        <w:rPr>
          <w:rFonts w:ascii="仿宋_GB2312" w:hAnsi="仿宋_GB2312" w:eastAsia="仿宋_GB2312" w:cs="仿宋_GB2312"/>
          <w:sz w:val="28"/>
          <w:szCs w:val="28"/>
        </w:rPr>
        <w:t>一</w:t>
      </w:r>
      <w:r>
        <w:rPr>
          <w:rFonts w:hint="eastAsia" w:ascii="仿宋_GB2312" w:hAnsi="仿宋_GB2312" w:eastAsia="仿宋_GB2312" w:cs="仿宋_GB2312"/>
          <w:sz w:val="28"/>
          <w:szCs w:val="28"/>
        </w:rPr>
        <w:t>条 团校的学员要针对所学理论知识及自身实践活动及时做好个人总结，高质量地完成结业考试</w:t>
      </w:r>
      <w:r>
        <w:rPr>
          <w:rFonts w:ascii="仿宋_GB2312" w:hAnsi="仿宋_GB2312" w:eastAsia="仿宋_GB2312" w:cs="仿宋_GB2312"/>
          <w:sz w:val="28"/>
          <w:szCs w:val="28"/>
        </w:rPr>
        <w:t>或</w:t>
      </w:r>
      <w:r>
        <w:rPr>
          <w:rFonts w:hint="eastAsia" w:ascii="仿宋_GB2312" w:hAnsi="仿宋_GB2312" w:eastAsia="仿宋_GB2312" w:cs="仿宋_GB2312"/>
          <w:sz w:val="28"/>
          <w:szCs w:val="28"/>
        </w:rPr>
        <w:t>结业论文。</w:t>
      </w:r>
    </w:p>
    <w:p>
      <w:pPr>
        <w:widowControl/>
        <w:tabs>
          <w:tab w:val="left" w:pos="720"/>
        </w:tabs>
        <w:spacing w:before="100" w:beforeAutospacing="1" w:after="100" w:afterAutospacing="1" w:line="312" w:lineRule="auto"/>
        <w:jc w:val="center"/>
        <w:rPr>
          <w:rFonts w:hint="eastAsia" w:ascii="黑体" w:hAnsi="黑体" w:eastAsia="黑体" w:cs="黑体"/>
          <w:b/>
          <w:sz w:val="32"/>
          <w:szCs w:val="32"/>
        </w:rPr>
      </w:pPr>
      <w:r>
        <w:rPr>
          <w:rFonts w:hint="eastAsia" w:ascii="黑体" w:hAnsi="黑体" w:eastAsia="黑体" w:cs="黑体"/>
          <w:b/>
          <w:sz w:val="32"/>
          <w:szCs w:val="32"/>
        </w:rPr>
        <w:t>第四章  奖惩制度</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w:t>
      </w:r>
      <w:r>
        <w:rPr>
          <w:rFonts w:ascii="仿宋_GB2312" w:hAnsi="仿宋_GB2312" w:eastAsia="仿宋_GB2312" w:cs="仿宋_GB2312"/>
          <w:sz w:val="28"/>
          <w:szCs w:val="28"/>
        </w:rPr>
        <w:t>二</w:t>
      </w:r>
      <w:r>
        <w:rPr>
          <w:rFonts w:hint="eastAsia" w:ascii="仿宋_GB2312" w:hAnsi="仿宋_GB2312" w:eastAsia="仿宋_GB2312" w:cs="仿宋_GB2312"/>
          <w:sz w:val="28"/>
          <w:szCs w:val="28"/>
        </w:rPr>
        <w:t>条 对于模范履行学员义务，在各项活动中表现突出的学员，团校应当给予奖励。</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奖励分为：通报表扬，由校团委授予优秀学员称号，优秀学员的比例一般为当期学员总数的10％。</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第十</w:t>
      </w:r>
      <w:r>
        <w:rPr>
          <w:rFonts w:ascii="仿宋_GB2312" w:hAnsi="仿宋_GB2312" w:eastAsia="仿宋_GB2312" w:cs="仿宋_GB2312"/>
          <w:sz w:val="28"/>
          <w:szCs w:val="28"/>
        </w:rPr>
        <w:t>三</w:t>
      </w:r>
      <w:r>
        <w:rPr>
          <w:rFonts w:hint="eastAsia" w:ascii="仿宋_GB2312" w:hAnsi="仿宋_GB2312" w:eastAsia="仿宋_GB2312" w:cs="仿宋_GB2312"/>
          <w:sz w:val="28"/>
          <w:szCs w:val="28"/>
        </w:rPr>
        <w:t>条 对于违反章程及其他有关规定的学员，应当进行批评和帮助，情节严重，将给予相应的纪律处分。</w:t>
      </w:r>
    </w:p>
    <w:p>
      <w:pPr>
        <w:tabs>
          <w:tab w:val="left" w:pos="660"/>
        </w:tabs>
        <w:spacing w:line="312" w:lineRule="auto"/>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处分分为：警告，严重警告，取消团校学习资格。</w:t>
      </w:r>
    </w:p>
    <w:p>
      <w:pPr>
        <w:pStyle w:val="2"/>
        <w:jc w:val="center"/>
        <w:rPr>
          <w:rFonts w:hint="eastAsia" w:ascii="方正小标宋简体" w:hAnsi="方正小标宋简体" w:eastAsia="方正小标宋简体" w:cs="方正小标宋简体"/>
        </w:rPr>
      </w:pPr>
      <w:r>
        <w:rPr>
          <w:rFonts w:hint="eastAsia" w:ascii="方正小标宋简体" w:hAnsi="方正小标宋简体" w:eastAsia="方正小标宋简体" w:cs="方正小标宋简体"/>
          <w:szCs w:val="44"/>
        </w:rPr>
        <w:br w:type="page"/>
      </w:r>
      <w:bookmarkStart w:id="5" w:name="_Toc18911"/>
      <w:bookmarkStart w:id="6" w:name="_Toc402982241"/>
      <w:bookmarkStart w:id="7" w:name="_Toc18582"/>
      <w:bookmarkStart w:id="8" w:name="_Toc9145"/>
      <w:r>
        <w:rPr>
          <w:rFonts w:hint="eastAsia" w:ascii="方正小标宋简体" w:hAnsi="方正小标宋简体" w:eastAsia="方正小标宋简体" w:cs="方正小标宋简体"/>
          <w:szCs w:val="44"/>
        </w:rPr>
        <w:t>杭州师范大学</w:t>
      </w:r>
      <w:r>
        <w:rPr>
          <w:rFonts w:hint="eastAsia" w:ascii="方正小标宋简体" w:hAnsi="方正小标宋简体" w:eastAsia="方正小标宋简体" w:cs="方正小标宋简体"/>
        </w:rPr>
        <w:t>团校机构设置</w:t>
      </w:r>
      <w:bookmarkEnd w:id="5"/>
      <w:bookmarkEnd w:id="6"/>
      <w:bookmarkEnd w:id="7"/>
      <w:bookmarkEnd w:id="8"/>
    </w:p>
    <w:p>
      <w:pPr>
        <w:widowControl/>
        <w:jc w:val="center"/>
        <w:rPr>
          <w:rFonts w:hint="eastAsia" w:ascii="黑体" w:hAnsi="黑体" w:eastAsia="黑体" w:cs="黑体"/>
          <w:kern w:val="0"/>
          <w:sz w:val="24"/>
        </w:rPr>
      </w:pPr>
      <w:r>
        <w:rPr>
          <w:rFonts w:hint="eastAsia" w:ascii="黑体" w:hAnsi="黑体" w:eastAsia="黑体" w:cs="黑体"/>
          <w:b/>
          <w:kern w:val="0"/>
          <w:sz w:val="32"/>
          <w:szCs w:val="32"/>
        </w:rPr>
        <w:t>校务委员会名单</w:t>
      </w:r>
      <w:r>
        <w:rPr>
          <w:rFonts w:hint="eastAsia" w:ascii="黑体" w:hAnsi="黑体" w:eastAsia="黑体" w:cs="黑体"/>
          <w:kern w:val="0"/>
          <w:sz w:val="24"/>
        </w:rPr>
        <w:br w:type="textWrapping"/>
      </w:r>
    </w:p>
    <w:p>
      <w:pPr>
        <w:widowControl/>
        <w:jc w:val="center"/>
        <w:rPr>
          <w:rFonts w:ascii="宋体" w:hAnsi="宋体" w:cs="宋体"/>
          <w:kern w:val="0"/>
          <w:sz w:val="24"/>
        </w:rPr>
      </w:pPr>
    </w:p>
    <w:p>
      <w:pPr>
        <w:widowControl/>
        <w:jc w:val="center"/>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名誉校长：</w:t>
      </w:r>
      <w:r>
        <w:rPr>
          <w:rFonts w:hint="eastAsia" w:ascii="仿宋_GB2312" w:hAnsi="仿宋_GB2312" w:eastAsia="仿宋_GB2312" w:cs="仿宋_GB2312"/>
          <w:kern w:val="0"/>
          <w:sz w:val="32"/>
          <w:szCs w:val="32"/>
          <w:lang w:val="en-US" w:eastAsia="zh-CN"/>
        </w:rPr>
        <w:t>应  飚</w:t>
      </w:r>
    </w:p>
    <w:p>
      <w:pPr>
        <w:widowControl/>
        <w:jc w:val="center"/>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校   长：</w:t>
      </w:r>
      <w:r>
        <w:rPr>
          <w:rFonts w:hint="eastAsia" w:ascii="仿宋_GB2312" w:hAnsi="仿宋_GB2312" w:eastAsia="仿宋_GB2312" w:cs="仿宋_GB2312"/>
          <w:kern w:val="0"/>
          <w:sz w:val="32"/>
          <w:szCs w:val="32"/>
          <w:lang w:val="en-US" w:eastAsia="zh-CN"/>
        </w:rPr>
        <w:t>陈  勋</w:t>
      </w:r>
    </w:p>
    <w:p>
      <w:pPr>
        <w:widowControl/>
        <w:jc w:val="center"/>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rPr>
        <w:t>副 校 长：</w:t>
      </w:r>
      <w:r>
        <w:rPr>
          <w:rFonts w:hint="eastAsia" w:ascii="仿宋_GB2312" w:hAnsi="仿宋_GB2312" w:eastAsia="仿宋_GB2312" w:cs="仿宋_GB2312"/>
          <w:kern w:val="0"/>
          <w:sz w:val="32"/>
          <w:szCs w:val="32"/>
          <w:lang w:val="en-US" w:eastAsia="zh-CN"/>
        </w:rPr>
        <w:t>唐宾篲</w:t>
      </w:r>
      <w:bookmarkStart w:id="18" w:name="_GoBack"/>
      <w:bookmarkEnd w:id="18"/>
    </w:p>
    <w:p>
      <w:pPr>
        <w:widowControl/>
        <w:ind w:firstLine="2560" w:firstLineChars="800"/>
        <w:jc w:val="both"/>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办公室主任：</w:t>
      </w:r>
      <w:r>
        <w:rPr>
          <w:rFonts w:hint="eastAsia" w:ascii="仿宋_GB2312" w:hAnsi="仿宋_GB2312" w:eastAsia="仿宋_GB2312" w:cs="仿宋_GB2312"/>
          <w:kern w:val="0"/>
          <w:sz w:val="32"/>
          <w:szCs w:val="32"/>
          <w:lang w:val="en-US" w:eastAsia="zh-CN"/>
        </w:rPr>
        <w:t>董  铮</w:t>
      </w:r>
    </w:p>
    <w:p>
      <w:pPr>
        <w:widowControl/>
        <w:jc w:val="center"/>
        <w:rPr>
          <w:rFonts w:hint="default"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班 主 任：</w:t>
      </w:r>
      <w:r>
        <w:rPr>
          <w:rFonts w:hint="default" w:ascii="仿宋_GB2312" w:hAnsi="仿宋_GB2312" w:eastAsia="仿宋_GB2312" w:cs="仿宋_GB2312"/>
          <w:kern w:val="0"/>
          <w:sz w:val="32"/>
          <w:szCs w:val="32"/>
        </w:rPr>
        <w:t>唐宾篲、邹思艺</w:t>
      </w:r>
    </w:p>
    <w:p>
      <w:pPr>
        <w:widowControl/>
        <w:jc w:val="center"/>
        <w:rPr>
          <w:rFonts w:hint="default"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rPr>
        <w:t>其他校务委员：</w:t>
      </w:r>
      <w:r>
        <w:rPr>
          <w:rFonts w:hint="eastAsia" w:ascii="仿宋_GB2312" w:hAnsi="仿宋_GB2312" w:eastAsia="仿宋_GB2312" w:cs="仿宋_GB2312"/>
          <w:kern w:val="0"/>
          <w:sz w:val="32"/>
          <w:szCs w:val="32"/>
          <w:lang w:eastAsia="zh-CN"/>
        </w:rPr>
        <w:t>王</w:t>
      </w:r>
      <w:r>
        <w:rPr>
          <w:rFonts w:hint="eastAsia" w:ascii="仿宋_GB2312" w:hAnsi="仿宋_GB2312" w:eastAsia="仿宋_GB2312" w:cs="仿宋_GB2312"/>
          <w:kern w:val="0"/>
          <w:sz w:val="32"/>
          <w:szCs w:val="32"/>
          <w:lang w:val="en-US" w:eastAsia="zh-CN"/>
        </w:rPr>
        <w:t xml:space="preserve">  </w:t>
      </w:r>
      <w:r>
        <w:rPr>
          <w:rFonts w:hint="eastAsia" w:ascii="仿宋_GB2312" w:hAnsi="仿宋_GB2312" w:eastAsia="仿宋_GB2312" w:cs="仿宋_GB2312"/>
          <w:kern w:val="0"/>
          <w:sz w:val="32"/>
          <w:szCs w:val="32"/>
          <w:lang w:eastAsia="zh-CN"/>
        </w:rPr>
        <w:t>莹</w:t>
      </w:r>
      <w:r>
        <w:rPr>
          <w:rFonts w:hint="eastAsia" w:ascii="仿宋_GB2312" w:hAnsi="仿宋_GB2312" w:eastAsia="仿宋_GB2312" w:cs="仿宋_GB2312"/>
          <w:kern w:val="0"/>
          <w:sz w:val="32"/>
          <w:szCs w:val="32"/>
          <w:lang w:val="en-US" w:eastAsia="zh-CN"/>
        </w:rPr>
        <w:t>、张  磊</w:t>
      </w:r>
    </w:p>
    <w:p>
      <w:pPr>
        <w:rPr>
          <w:rFonts w:hint="eastAsia" w:ascii="方正小标宋简体" w:hAnsi="方正小标宋简体" w:eastAsia="方正小标宋简体" w:cs="方正小标宋简体"/>
          <w:sz w:val="44"/>
          <w:szCs w:val="44"/>
        </w:rPr>
      </w:pPr>
    </w:p>
    <w:p>
      <w:pPr>
        <w:jc w:val="center"/>
        <w:outlineLvl w:val="0"/>
        <w:rPr>
          <w:rFonts w:hint="eastAsia" w:ascii="方正小标宋简体" w:hAnsi="方正小标宋简体" w:eastAsia="方正小标宋简体" w:cs="方正小标宋简体"/>
          <w:b/>
          <w:bCs/>
          <w:sz w:val="44"/>
          <w:szCs w:val="44"/>
        </w:rPr>
      </w:pPr>
      <w:r>
        <w:rPr>
          <w:rFonts w:hint="eastAsia" w:ascii="方正小标宋简体" w:hAnsi="方正小标宋简体" w:eastAsia="方正小标宋简体" w:cs="方正小标宋简体"/>
          <w:sz w:val="44"/>
          <w:szCs w:val="44"/>
        </w:rPr>
        <w:br w:type="page"/>
      </w:r>
      <w:bookmarkStart w:id="9" w:name="_Toc9164"/>
      <w:bookmarkStart w:id="10" w:name="_Toc15971"/>
      <w:bookmarkStart w:id="11" w:name="_Toc26770"/>
      <w:r>
        <w:rPr>
          <w:rFonts w:hint="eastAsia" w:ascii="方正小标宋简体" w:hAnsi="方正小标宋简体" w:eastAsia="方正小标宋简体" w:cs="方正小标宋简体"/>
          <w:b/>
          <w:bCs/>
          <w:sz w:val="44"/>
          <w:szCs w:val="44"/>
        </w:rPr>
        <w:t>杭州师范大学团校学员须知</w:t>
      </w:r>
      <w:bookmarkEnd w:id="1"/>
      <w:bookmarkEnd w:id="9"/>
      <w:bookmarkEnd w:id="10"/>
      <w:bookmarkEnd w:id="11"/>
    </w:p>
    <w:p>
      <w:pPr>
        <w:rPr>
          <w:rFonts w:hint="eastAsia" w:ascii="仿宋_GB2312" w:hAnsi="仿宋_GB2312" w:eastAsia="仿宋_GB2312" w:cs="仿宋_GB2312"/>
          <w:b/>
          <w:bCs/>
          <w:sz w:val="32"/>
          <w:szCs w:val="32"/>
        </w:rPr>
      </w:pPr>
      <w:bookmarkStart w:id="12" w:name="_Toc16697"/>
      <w:bookmarkStart w:id="13" w:name="_Toc29324"/>
      <w:bookmarkStart w:id="14" w:name="_Toc6254"/>
    </w:p>
    <w:p>
      <w:pPr>
        <w:ind w:firstLine="643" w:firstLineChars="200"/>
        <w:rPr>
          <w:rFonts w:hint="eastAsia" w:ascii="仿宋_GB2312" w:hAnsi="仿宋_GB2312" w:eastAsia="仿宋_GB2312" w:cs="仿宋_GB2312"/>
          <w:b/>
          <w:bCs/>
          <w:sz w:val="32"/>
          <w:szCs w:val="32"/>
        </w:rPr>
      </w:pPr>
      <w:r>
        <w:rPr>
          <w:rFonts w:hint="eastAsia" w:ascii="仿宋_GB2312" w:hAnsi="仿宋_GB2312" w:eastAsia="仿宋_GB2312" w:cs="仿宋_GB2312"/>
          <w:b/>
          <w:bCs/>
          <w:sz w:val="32"/>
          <w:szCs w:val="32"/>
        </w:rPr>
        <w:t>一、学习要求</w:t>
      </w:r>
      <w:bookmarkEnd w:id="12"/>
      <w:bookmarkEnd w:id="13"/>
      <w:bookmarkEnd w:id="14"/>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1、严格遵守纪律，自觉参加团校的各项学习活动，如有特殊情况需要请假者，必须以书面形式，携请假条（学院团委盖章），提前向团支书和团校班主任请假，并经校务委员会同意。</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2.按时上课，各位学员须提前20分钟到达学习地点，不得无故迟到或旷课，无故旷课一次即被取消团校学员资格，迟到或早退两次作旷课一次处理。</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3、学员在团校学习期间须认真做好听课笔记，记录学习心得</w:t>
      </w:r>
      <w:r>
        <w:rPr>
          <w:rFonts w:ascii="Tahoma" w:hAnsi="Tahoma" w:eastAsia="Tahoma" w:cs="Tahoma"/>
          <w:szCs w:val="21"/>
        </w:rPr>
        <w:t>，</w:t>
      </w:r>
      <w:r>
        <w:rPr>
          <w:rFonts w:hint="eastAsia" w:ascii="仿宋_GB2312" w:hAnsi="仿宋_GB2312" w:eastAsia="仿宋_GB2312" w:cs="仿宋_GB2312"/>
          <w:sz w:val="32"/>
          <w:szCs w:val="32"/>
        </w:rPr>
        <w:t>积极参加小组讨论并分享自己的学习体会。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4、团校培训结束后，学员须提交结业论文。</w:t>
      </w:r>
    </w:p>
    <w:p>
      <w:pPr>
        <w:ind w:firstLine="640" w:firstLineChars="200"/>
        <w:rPr>
          <w:rFonts w:hint="eastAsia" w:ascii="仿宋_GB2312" w:hAnsi="仿宋_GB2312" w:eastAsia="仿宋_GB2312" w:cs="仿宋_GB2312"/>
          <w:sz w:val="32"/>
          <w:szCs w:val="32"/>
        </w:rPr>
      </w:pPr>
    </w:p>
    <w:p>
      <w:pPr>
        <w:ind w:firstLine="643" w:firstLineChars="200"/>
        <w:rPr>
          <w:rFonts w:hint="eastAsia" w:ascii="仿宋_GB2312" w:hAnsi="仿宋_GB2312" w:eastAsia="仿宋_GB2312" w:cs="仿宋_GB2312"/>
          <w:b/>
          <w:bCs/>
          <w:sz w:val="32"/>
          <w:szCs w:val="32"/>
        </w:rPr>
      </w:pPr>
      <w:bookmarkStart w:id="15" w:name="_Toc32403"/>
      <w:bookmarkStart w:id="16" w:name="_Toc12564"/>
      <w:bookmarkStart w:id="17" w:name="_Toc15428"/>
      <w:r>
        <w:rPr>
          <w:rFonts w:hint="eastAsia" w:ascii="仿宋_GB2312" w:hAnsi="仿宋_GB2312" w:eastAsia="仿宋_GB2312" w:cs="仿宋_GB2312"/>
          <w:b/>
          <w:bCs/>
          <w:sz w:val="32"/>
          <w:szCs w:val="32"/>
        </w:rPr>
        <w:t>二、考核、评比要求</w:t>
      </w:r>
      <w:bookmarkEnd w:id="15"/>
      <w:bookmarkEnd w:id="16"/>
      <w:bookmarkEnd w:id="17"/>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（一）考核要求</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1、学员必须经过团校的考核方可结业。考核内容分为： </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（1）结业论文；</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（2）学习期间的综合表现情况；</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（3）由校务委员会决定的其他形式。</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2、有下列情况之一的学员，不予结业 </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（1）结业论文审核未通过者；</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（2）在团校学习期间违反校纪、团纪，受到校纪、团纪处分或通报批评者；</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（3）参加团校的讲座、讨论或其它活动无故缺席一次以上者；</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（4）团校的讲座、讨论或其它活动请假达到1/3以上者。</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3、考核分为优秀、合格和不合格三类。通过考核者可获团校结业证书。考核不合格的不予结业。</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4、学员在团校的学习表现将作为团内各类先进评比及推优入党的重要依据。</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（二）评比要求</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本次团校将按照本期团校学员总数10%的比例评选出优秀学员，评比细则如下：</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（1）结业论文评定为优秀；</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（1）遵守团校规定，未出现无故缺席团校各项安排；</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（2）无迟到早退情况；</w:t>
      </w:r>
    </w:p>
    <w:p>
      <w:pPr>
        <w:ind w:firstLine="640" w:firstLineChars="200"/>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（3）积极响应支部各项活动安排，并及时完成个人任务。</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8698C82-C1E9-4F13-95F8-23CF92302E73}"/>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embedRegular r:id="rId2" w:fontKey="{CFE28CF1-E9C6-4386-9B50-070CC2D75C34}"/>
  </w:font>
  <w:font w:name="仿宋_GB2312">
    <w:panose1 w:val="02010609030101010101"/>
    <w:charset w:val="86"/>
    <w:family w:val="auto"/>
    <w:pitch w:val="default"/>
    <w:sig w:usb0="00000001" w:usb1="080E0000" w:usb2="00000000" w:usb3="00000000" w:csb0="00040000" w:csb1="00000000"/>
    <w:embedRegular r:id="rId3" w:fontKey="{2A78D4CF-5465-4BDE-AD76-A03BA115B62D}"/>
  </w:font>
  <w:font w:name="方正宋简体">
    <w:altName w:val="宋体"/>
    <w:panose1 w:val="00000000000000000000"/>
    <w:charset w:val="00"/>
    <w:family w:val="auto"/>
    <w:pitch w:val="default"/>
    <w:sig w:usb0="00000000" w:usb1="00000000" w:usb2="00000000" w:usb3="00000000" w:csb0="00040001" w:csb1="00000000"/>
  </w:font>
  <w:font w:name="方正小标宋简体">
    <w:panose1 w:val="02010601030101010101"/>
    <w:charset w:val="86"/>
    <w:family w:val="auto"/>
    <w:pitch w:val="default"/>
    <w:sig w:usb0="00000001" w:usb1="080E0000" w:usb2="00000000" w:usb3="00000000" w:csb0="00040000" w:csb1="00000000"/>
    <w:embedRegular r:id="rId4" w:fontKey="{9048A487-E518-4829-B672-65C3B953F076}"/>
  </w:font>
  <w:font w:name="华文新魏">
    <w:panose1 w:val="02010800040101010101"/>
    <w:charset w:val="86"/>
    <w:family w:val="auto"/>
    <w:pitch w:val="default"/>
    <w:sig w:usb0="00000001" w:usb1="080F0000" w:usb2="00000000" w:usb3="00000000" w:csb0="00040000" w:csb1="00000000"/>
    <w:embedRegular r:id="rId5" w:fontKey="{0CBE9549-EE5B-4915-B7FA-6B2BB0850185}"/>
  </w:font>
  <w:font w:name="Tahoma">
    <w:panose1 w:val="020B0604030504040204"/>
    <w:charset w:val="00"/>
    <w:family w:val="swiss"/>
    <w:pitch w:val="default"/>
    <w:sig w:usb0="E1002EFF" w:usb1="C000605B" w:usb2="00000029" w:usb3="00000000" w:csb0="200101FF" w:csb1="20280000"/>
    <w:embedRegular r:id="rId6" w:fontKey="{3349D32A-C286-4F8D-85E3-A569073C10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rPr>
      <w:tab/>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405D"/>
    <w:rsid w:val="001B3A60"/>
    <w:rsid w:val="00252803"/>
    <w:rsid w:val="002D44F1"/>
    <w:rsid w:val="00666F37"/>
    <w:rsid w:val="00731045"/>
    <w:rsid w:val="00CB79F9"/>
    <w:rsid w:val="00E8405D"/>
    <w:rsid w:val="1C882067"/>
    <w:rsid w:val="1D543D47"/>
    <w:rsid w:val="366F0F4C"/>
    <w:rsid w:val="43C622B1"/>
    <w:rsid w:val="6DFFF3D1"/>
    <w:rsid w:val="76001960"/>
    <w:rsid w:val="76EFD51F"/>
    <w:rsid w:val="7E2FC7A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7"/>
    <w:qFormat/>
    <w:uiPriority w:val="0"/>
    <w:pPr>
      <w:keepNext/>
      <w:keepLines/>
      <w:spacing w:before="340" w:after="330" w:line="576" w:lineRule="auto"/>
      <w:outlineLvl w:val="0"/>
    </w:pPr>
    <w:rPr>
      <w:b/>
      <w:kern w:val="44"/>
      <w:sz w:val="44"/>
    </w:rPr>
  </w:style>
  <w:style w:type="character" w:default="1" w:styleId="6">
    <w:name w:val="Default Paragraph Font"/>
    <w:unhideWhenUsed/>
    <w:qFormat/>
    <w:uiPriority w:val="1"/>
  </w:style>
  <w:style w:type="table" w:default="1" w:styleId="5">
    <w:name w:val="Normal Table"/>
    <w:unhideWhenUsed/>
    <w:qFormat/>
    <w:uiPriority w:val="99"/>
    <w:tblPr>
      <w:tblCellMar>
        <w:top w:w="0" w:type="dxa"/>
        <w:left w:w="108" w:type="dxa"/>
        <w:bottom w:w="0" w:type="dxa"/>
        <w:right w:w="108" w:type="dxa"/>
      </w:tblCellMar>
    </w:tblPr>
  </w:style>
  <w:style w:type="paragraph" w:styleId="3">
    <w:name w:val="Balloon Text"/>
    <w:basedOn w:val="1"/>
    <w:link w:val="10"/>
    <w:unhideWhenUsed/>
    <w:qFormat/>
    <w:uiPriority w:val="99"/>
    <w:rPr>
      <w:sz w:val="18"/>
      <w:szCs w:val="18"/>
    </w:rPr>
  </w:style>
  <w:style w:type="paragraph" w:styleId="4">
    <w:name w:val="footer"/>
    <w:basedOn w:val="1"/>
    <w:link w:val="8"/>
    <w:qFormat/>
    <w:uiPriority w:val="0"/>
    <w:pPr>
      <w:tabs>
        <w:tab w:val="center" w:pos="4153"/>
        <w:tab w:val="right" w:pos="8306"/>
      </w:tabs>
      <w:snapToGrid w:val="0"/>
      <w:jc w:val="left"/>
    </w:pPr>
    <w:rPr>
      <w:sz w:val="18"/>
    </w:rPr>
  </w:style>
  <w:style w:type="character" w:customStyle="1" w:styleId="7">
    <w:name w:val="标题 1 Char"/>
    <w:basedOn w:val="6"/>
    <w:link w:val="2"/>
    <w:qFormat/>
    <w:uiPriority w:val="0"/>
    <w:rPr>
      <w:rFonts w:ascii="Calibri" w:hAnsi="Calibri" w:eastAsia="宋体" w:cs="Times New Roman"/>
      <w:b/>
      <w:kern w:val="44"/>
      <w:sz w:val="44"/>
      <w:szCs w:val="24"/>
    </w:rPr>
  </w:style>
  <w:style w:type="character" w:customStyle="1" w:styleId="8">
    <w:name w:val="页脚 Char"/>
    <w:basedOn w:val="6"/>
    <w:link w:val="4"/>
    <w:qFormat/>
    <w:uiPriority w:val="0"/>
    <w:rPr>
      <w:rFonts w:ascii="Calibri" w:hAnsi="Calibri" w:eastAsia="宋体" w:cs="Times New Roman"/>
      <w:sz w:val="18"/>
      <w:szCs w:val="24"/>
    </w:rPr>
  </w:style>
  <w:style w:type="paragraph" w:customStyle="1" w:styleId="9">
    <w:name w:val="WPSOffice手动目录 1"/>
    <w:qFormat/>
    <w:uiPriority w:val="0"/>
    <w:rPr>
      <w:rFonts w:ascii="Times New Roman" w:hAnsi="Times New Roman" w:eastAsia="宋体" w:cs="Times New Roman"/>
      <w:kern w:val="0"/>
      <w:sz w:val="20"/>
      <w:szCs w:val="20"/>
      <w:lang w:val="en-US" w:eastAsia="zh-CN" w:bidi="ar-SA"/>
    </w:rPr>
  </w:style>
  <w:style w:type="character" w:customStyle="1" w:styleId="10">
    <w:name w:val="批注框文本 Char"/>
    <w:basedOn w:val="6"/>
    <w:link w:val="3"/>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350</Words>
  <Characters>1998</Characters>
  <Lines>16</Lines>
  <Paragraphs>4</Paragraphs>
  <TotalTime>2</TotalTime>
  <ScaleCrop>false</ScaleCrop>
  <LinksUpToDate>false</LinksUpToDate>
  <CharactersWithSpaces>2344</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2020-10-24T13:44:00Z</dcterms:created>
  <dc:creator>ThinkPad</dc:creator>
  <cp:lastModifiedBy>Miss.</cp:lastModifiedBy>
  <dcterms:modified xsi:type="dcterms:W3CDTF">2021-11-01T01:37:26Z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653A523F6A574F6F9DB34E1E8605694C</vt:lpwstr>
  </property>
</Properties>
</file>