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 w:cs="Times New Roman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  <w:lang w:val="zh-CN"/>
        </w:rPr>
        <w:t>杭州师范大学第二十三次学生代表大会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  <w:lang w:val="zh-CN"/>
        </w:rPr>
        <w:t>正式代表名额分配方案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834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单位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第一代表团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经济与管理学院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沈钧儒法学院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公共管理学院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第二代表团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教育学院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体育与健康学院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第三代表团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人文学院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外国语学院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第四代表团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理学院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材料与化学化工学院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第五代表团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生命与环境科学学院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信息科学与工程学院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第六代表团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医学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部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音乐学院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美术学院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文化创意学院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阿里巴巴商学院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哈尔科夫学院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经亨颐教师教育学院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总数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69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0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2021-06-02T17:16:18Z</dcterms:created>
  <dc:creator>Administrator</dc:creator>
  <cp:lastModifiedBy>MN</cp:lastModifiedBy>
  <dcterms:modified xsi:type="dcterms:W3CDTF">2021-06-02T17:16:41Z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379D3F821F7145D2A81E4270ED08BB09</vt:lpwstr>
  </property>
</Properties>
</file>