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Times New Roman" w:hAnsi="Times New Roman" w:eastAsia="仿宋_GB2312"/>
          <w:kern w:val="0"/>
          <w:sz w:val="30"/>
          <w:szCs w:val="30"/>
          <w:lang w:val="zh-CN"/>
        </w:rPr>
      </w:pPr>
      <w:r>
        <w:rPr>
          <w:rFonts w:hint="eastAsia" w:ascii="Times New Roman" w:hAnsi="Times New Roman" w:eastAsia="仿宋_GB2312"/>
          <w:kern w:val="0"/>
          <w:sz w:val="30"/>
          <w:szCs w:val="30"/>
          <w:lang w:val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</w:pP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t>杭州师范大学第二十二次学生代表大会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  <w:t>正式代表名额分配</w:t>
      </w:r>
      <w:r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 w:eastAsia="zh-CN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kern w:val="0"/>
          <w:sz w:val="36"/>
          <w:szCs w:val="36"/>
          <w:lang w:val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834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</w:rPr>
              <w:t>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</w:rPr>
              <w:t>单位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第一代表团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经济与管理学院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1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沈钧儒法学院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公共管理学院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第二代表团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教育学院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1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体育与健康学院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第三代表团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人文学院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外国语学院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1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第四代表团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理学院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1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材料与化学化工学院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第五代表团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生命与环境科学学院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信息科学与工程学院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1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第六代表团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医学</w:t>
            </w:r>
            <w:r>
              <w:rPr>
                <w:rFonts w:hint="eastAsia" w:ascii="Times New Roman" w:hAnsi="Times New Roman" w:eastAsia="仿宋_GB2312" w:cs="仿宋_GB2312"/>
                <w:lang w:eastAsia="zh-CN"/>
              </w:rPr>
              <w:t>部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2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lang w:eastAsia="zh-CN"/>
              </w:rPr>
              <w:t>七</w:t>
            </w:r>
            <w:r>
              <w:rPr>
                <w:rFonts w:hint="eastAsia" w:ascii="Times New Roman" w:hAnsi="Times New Roman" w:eastAsia="仿宋_GB2312" w:cs="仿宋_GB2312"/>
              </w:rPr>
              <w:t>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音乐学院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美术学院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文化创意学院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1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第</w:t>
            </w:r>
            <w:r>
              <w:rPr>
                <w:rFonts w:hint="eastAsia" w:ascii="Times New Roman" w:hAnsi="Times New Roman" w:eastAsia="仿宋_GB2312" w:cs="仿宋_GB2312"/>
                <w:lang w:eastAsia="zh-CN"/>
              </w:rPr>
              <w:t>八</w:t>
            </w:r>
            <w:r>
              <w:rPr>
                <w:rFonts w:hint="eastAsia" w:ascii="Times New Roman" w:hAnsi="Times New Roman" w:eastAsia="仿宋_GB2312" w:cs="仿宋_GB2312"/>
              </w:rPr>
              <w:t>代表团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阿里巴巴商学院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1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哈尔科夫学院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经亨颐教师教育学院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总数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1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>69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1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2020-11-13T02:59:04Z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